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62" w:rsidRPr="008D6A62" w:rsidRDefault="008D6A62" w:rsidP="008D6A62">
      <w:pPr>
        <w:ind w:left="-1170"/>
        <w:rPr>
          <w:rFonts w:ascii="Arial" w:hAnsi="Arial" w:cs="Arial"/>
          <w:szCs w:val="24"/>
        </w:rPr>
      </w:pPr>
      <w:r w:rsidRPr="008D6A62">
        <w:rPr>
          <w:rFonts w:ascii="Arial" w:hAnsi="Arial" w:cs="Arial"/>
          <w:noProof/>
          <w:szCs w:val="24"/>
        </w:rPr>
        <w:drawing>
          <wp:inline distT="0" distB="0" distL="0" distR="0" wp14:anchorId="4BAB3762" wp14:editId="02788665">
            <wp:extent cx="6397948"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8676" cy="597078"/>
                    </a:xfrm>
                    <a:prstGeom prst="rect">
                      <a:avLst/>
                    </a:prstGeom>
                    <a:noFill/>
                  </pic:spPr>
                </pic:pic>
              </a:graphicData>
            </a:graphic>
          </wp:inline>
        </w:drawing>
      </w:r>
    </w:p>
    <w:tbl>
      <w:tblPr>
        <w:tblStyle w:val="TableGrid"/>
        <w:tblW w:w="10075" w:type="dxa"/>
        <w:tblInd w:w="-1170" w:type="dxa"/>
        <w:shd w:val="clear" w:color="auto" w:fill="33CCCC"/>
        <w:tblLook w:val="04A0" w:firstRow="1" w:lastRow="0" w:firstColumn="1" w:lastColumn="0" w:noHBand="0" w:noVBand="1"/>
      </w:tblPr>
      <w:tblGrid>
        <w:gridCol w:w="10075"/>
      </w:tblGrid>
      <w:tr w:rsidR="008D6A62" w:rsidRPr="008D6A62" w:rsidTr="00EB3284">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rsidR="008D6A62" w:rsidRPr="008D6A62" w:rsidRDefault="001762D0" w:rsidP="00EB3284">
            <w:pPr>
              <w:spacing w:before="0" w:after="0" w:line="240" w:lineRule="auto"/>
              <w:jc w:val="center"/>
              <w:rPr>
                <w:rFonts w:ascii="Arial" w:hAnsi="Arial" w:cs="Arial"/>
                <w:b/>
                <w:sz w:val="32"/>
                <w:szCs w:val="24"/>
              </w:rPr>
            </w:pPr>
            <w:r>
              <w:rPr>
                <w:rFonts w:ascii="Arial" w:hAnsi="Arial" w:cs="Arial"/>
                <w:b/>
                <w:color w:val="FFFFFF" w:themeColor="background1"/>
                <w:sz w:val="28"/>
                <w:szCs w:val="24"/>
              </w:rPr>
              <w:t>MEDIATOR’S INFORMATION</w:t>
            </w:r>
          </w:p>
        </w:tc>
      </w:tr>
    </w:tbl>
    <w:p w:rsidR="008D6A62" w:rsidRPr="008D6A62" w:rsidRDefault="008D6A62" w:rsidP="008D6A62">
      <w:pPr>
        <w:ind w:left="-1170"/>
        <w:rPr>
          <w:rFonts w:ascii="Arial" w:hAnsi="Arial" w:cs="Arial"/>
          <w:szCs w:val="24"/>
        </w:rPr>
      </w:pPr>
    </w:p>
    <w:tbl>
      <w:tblPr>
        <w:tblStyle w:val="TableGrid"/>
        <w:tblW w:w="9632" w:type="dxa"/>
        <w:tblInd w:w="-8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5"/>
        <w:gridCol w:w="1765"/>
        <w:gridCol w:w="584"/>
        <w:gridCol w:w="539"/>
        <w:gridCol w:w="3197"/>
        <w:gridCol w:w="2972"/>
      </w:tblGrid>
      <w:tr w:rsidR="00962FF4" w:rsidRPr="00D57E13" w:rsidTr="00B5517B">
        <w:trPr>
          <w:trHeight w:val="665"/>
        </w:trPr>
        <w:tc>
          <w:tcPr>
            <w:tcW w:w="6660" w:type="dxa"/>
            <w:gridSpan w:val="5"/>
            <w:vAlign w:val="center"/>
          </w:tcPr>
          <w:p w:rsidR="00962FF4" w:rsidRPr="00D57E13" w:rsidRDefault="001762D0" w:rsidP="00081CE0">
            <w:pPr>
              <w:spacing w:before="0" w:after="0" w:line="276" w:lineRule="auto"/>
              <w:jc w:val="left"/>
              <w:rPr>
                <w:rFonts w:ascii="Arial" w:hAnsi="Arial" w:cs="Arial"/>
                <w:b/>
                <w:sz w:val="22"/>
              </w:rPr>
            </w:pPr>
            <w:r w:rsidRPr="00D57E13">
              <w:rPr>
                <w:rFonts w:ascii="Arial" w:hAnsi="Arial" w:cs="Arial"/>
                <w:b/>
                <w:sz w:val="22"/>
              </w:rPr>
              <w:t>TRUONG TRONG NGHIA</w:t>
            </w:r>
          </w:p>
        </w:tc>
        <w:tc>
          <w:tcPr>
            <w:tcW w:w="2972" w:type="dxa"/>
            <w:vMerge w:val="restart"/>
            <w:vAlign w:val="center"/>
          </w:tcPr>
          <w:p w:rsidR="00962FF4" w:rsidRPr="00D57E13" w:rsidRDefault="00B5517B" w:rsidP="00081CE0">
            <w:pPr>
              <w:spacing w:line="276" w:lineRule="auto"/>
              <w:jc w:val="center"/>
              <w:rPr>
                <w:rFonts w:ascii="Arial" w:hAnsi="Arial" w:cs="Arial"/>
                <w:sz w:val="22"/>
              </w:rPr>
            </w:pPr>
            <w:r w:rsidRPr="00D57E13">
              <w:rPr>
                <w:rFonts w:ascii="Arial" w:hAnsi="Arial" w:cs="Arial"/>
                <w:sz w:val="22"/>
              </w:rPr>
              <w:object w:dxaOrig="3660" w:dyaOrig="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170pt" o:ole="">
                  <v:imagedata r:id="rId8" o:title=""/>
                </v:shape>
                <o:OLEObject Type="Embed" ProgID="PBrush" ShapeID="_x0000_i1025" DrawAspect="Content" ObjectID="_1592205992" r:id="rId9"/>
              </w:object>
            </w:r>
          </w:p>
        </w:tc>
      </w:tr>
      <w:tr w:rsidR="00962FF4" w:rsidRPr="00D57E13" w:rsidTr="00B5517B">
        <w:tc>
          <w:tcPr>
            <w:tcW w:w="575" w:type="dxa"/>
            <w:vAlign w:val="center"/>
          </w:tcPr>
          <w:p w:rsidR="00962FF4" w:rsidRPr="00D57E13" w:rsidRDefault="00962FF4" w:rsidP="00081CE0">
            <w:pPr>
              <w:spacing w:line="276" w:lineRule="auto"/>
              <w:ind w:right="27"/>
              <w:jc w:val="center"/>
              <w:rPr>
                <w:rFonts w:ascii="Arial" w:hAnsi="Arial" w:cs="Arial"/>
                <w:sz w:val="22"/>
              </w:rPr>
            </w:pPr>
            <w:r w:rsidRPr="00D57E13">
              <w:rPr>
                <w:rFonts w:ascii="Arial" w:hAnsi="Arial" w:cs="Arial"/>
                <w:noProof/>
                <w:sz w:val="22"/>
              </w:rPr>
              <w:drawing>
                <wp:inline distT="0" distB="0" distL="0" distR="0" wp14:anchorId="2499A939" wp14:editId="35FDA535">
                  <wp:extent cx="182880" cy="182880"/>
                  <wp:effectExtent l="0" t="0" r="7620" b="7620"/>
                  <wp:docPr id="4" name="Picture 4" descr="Kết quả hình ảnh cho lugg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luggag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75" cy="194175"/>
                          </a:xfrm>
                          <a:prstGeom prst="rect">
                            <a:avLst/>
                          </a:prstGeom>
                          <a:noFill/>
                          <a:ln>
                            <a:noFill/>
                          </a:ln>
                        </pic:spPr>
                      </pic:pic>
                    </a:graphicData>
                  </a:graphic>
                </wp:inline>
              </w:drawing>
            </w:r>
          </w:p>
        </w:tc>
        <w:tc>
          <w:tcPr>
            <w:tcW w:w="6085" w:type="dxa"/>
            <w:gridSpan w:val="4"/>
            <w:vAlign w:val="center"/>
          </w:tcPr>
          <w:p w:rsidR="000E2143" w:rsidRPr="00D57E13" w:rsidRDefault="001762D0" w:rsidP="00081CE0">
            <w:pPr>
              <w:spacing w:line="276" w:lineRule="auto"/>
              <w:ind w:right="27"/>
              <w:jc w:val="left"/>
              <w:rPr>
                <w:rFonts w:ascii="Arial" w:hAnsi="Arial" w:cs="Arial"/>
                <w:sz w:val="22"/>
              </w:rPr>
            </w:pPr>
            <w:r w:rsidRPr="00D57E13">
              <w:rPr>
                <w:rFonts w:ascii="Arial" w:hAnsi="Arial" w:cs="Arial"/>
                <w:sz w:val="22"/>
              </w:rPr>
              <w:t>Partner</w:t>
            </w:r>
            <w:r w:rsidR="00962FF4" w:rsidRPr="00D57E13">
              <w:rPr>
                <w:rFonts w:ascii="Arial" w:hAnsi="Arial" w:cs="Arial"/>
                <w:sz w:val="22"/>
              </w:rPr>
              <w:t>, YKVN</w:t>
            </w:r>
          </w:p>
          <w:p w:rsidR="00B5517B" w:rsidRPr="00D57E13" w:rsidRDefault="003432EF" w:rsidP="004249D2">
            <w:pPr>
              <w:spacing w:line="276" w:lineRule="auto"/>
              <w:ind w:right="27"/>
              <w:jc w:val="left"/>
              <w:rPr>
                <w:rFonts w:ascii="Arial" w:hAnsi="Arial" w:cs="Arial"/>
                <w:sz w:val="22"/>
              </w:rPr>
            </w:pPr>
            <w:r w:rsidRPr="00D57E13">
              <w:rPr>
                <w:rFonts w:ascii="Arial" w:hAnsi="Arial" w:cs="Arial"/>
                <w:sz w:val="22"/>
              </w:rPr>
              <w:t xml:space="preserve">Member of </w:t>
            </w:r>
            <w:r w:rsidR="004249D2" w:rsidRPr="00D57E13">
              <w:rPr>
                <w:rFonts w:ascii="Arial" w:hAnsi="Arial" w:cs="Arial"/>
                <w:sz w:val="22"/>
              </w:rPr>
              <w:t>14</w:t>
            </w:r>
            <w:r w:rsidR="004249D2" w:rsidRPr="00D57E13">
              <w:rPr>
                <w:rFonts w:ascii="Arial" w:hAnsi="Arial" w:cs="Arial"/>
                <w:sz w:val="22"/>
                <w:vertAlign w:val="superscript"/>
              </w:rPr>
              <w:t>th</w:t>
            </w:r>
            <w:r w:rsidR="004249D2" w:rsidRPr="00D57E13">
              <w:rPr>
                <w:rFonts w:ascii="Arial" w:hAnsi="Arial" w:cs="Arial"/>
                <w:sz w:val="22"/>
              </w:rPr>
              <w:t xml:space="preserve"> National Assembly</w:t>
            </w:r>
          </w:p>
        </w:tc>
        <w:tc>
          <w:tcPr>
            <w:tcW w:w="2972" w:type="dxa"/>
            <w:vMerge/>
            <w:vAlign w:val="center"/>
          </w:tcPr>
          <w:p w:rsidR="00962FF4" w:rsidRPr="00D57E13" w:rsidRDefault="00962FF4" w:rsidP="00081CE0">
            <w:pPr>
              <w:spacing w:line="276" w:lineRule="auto"/>
              <w:jc w:val="left"/>
              <w:rPr>
                <w:rFonts w:ascii="Arial" w:hAnsi="Arial" w:cs="Arial"/>
                <w:sz w:val="22"/>
              </w:rPr>
            </w:pPr>
          </w:p>
        </w:tc>
      </w:tr>
      <w:tr w:rsidR="00962FF4" w:rsidRPr="00D57E13" w:rsidTr="00B5517B">
        <w:tc>
          <w:tcPr>
            <w:tcW w:w="575" w:type="dxa"/>
            <w:vAlign w:val="center"/>
          </w:tcPr>
          <w:p w:rsidR="00962FF4" w:rsidRPr="00D57E13" w:rsidRDefault="00962FF4" w:rsidP="00081CE0">
            <w:pPr>
              <w:spacing w:line="276" w:lineRule="auto"/>
              <w:jc w:val="center"/>
              <w:rPr>
                <w:rFonts w:ascii="Arial" w:hAnsi="Arial" w:cs="Arial"/>
                <w:sz w:val="22"/>
              </w:rPr>
            </w:pPr>
            <w:r w:rsidRPr="00D57E13">
              <w:rPr>
                <w:rFonts w:ascii="Arial" w:hAnsi="Arial" w:cs="Arial"/>
                <w:noProof/>
                <w:sz w:val="22"/>
              </w:rPr>
              <w:drawing>
                <wp:inline distT="0" distB="0" distL="0" distR="0" wp14:anchorId="5EB7B041" wp14:editId="47F18AD3">
                  <wp:extent cx="160934" cy="160934"/>
                  <wp:effectExtent l="0" t="0" r="0" b="0"/>
                  <wp:docPr id="5" name="Picture 5" descr="Kết quả hình ảnh cho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address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863" cy="165863"/>
                          </a:xfrm>
                          <a:prstGeom prst="rect">
                            <a:avLst/>
                          </a:prstGeom>
                          <a:noFill/>
                          <a:ln>
                            <a:noFill/>
                          </a:ln>
                        </pic:spPr>
                      </pic:pic>
                    </a:graphicData>
                  </a:graphic>
                </wp:inline>
              </w:drawing>
            </w:r>
          </w:p>
        </w:tc>
        <w:tc>
          <w:tcPr>
            <w:tcW w:w="6085" w:type="dxa"/>
            <w:gridSpan w:val="4"/>
            <w:vAlign w:val="center"/>
          </w:tcPr>
          <w:p w:rsidR="00962FF4" w:rsidRPr="00D57E13" w:rsidRDefault="00D66347" w:rsidP="00081CE0">
            <w:pPr>
              <w:spacing w:line="276" w:lineRule="auto"/>
              <w:jc w:val="left"/>
              <w:rPr>
                <w:rFonts w:ascii="Arial" w:hAnsi="Arial" w:cs="Arial"/>
                <w:sz w:val="22"/>
              </w:rPr>
            </w:pPr>
            <w:proofErr w:type="spellStart"/>
            <w:r w:rsidRPr="00D57E13">
              <w:rPr>
                <w:rFonts w:ascii="Arial" w:hAnsi="Arial" w:cs="Arial"/>
                <w:sz w:val="22"/>
              </w:rPr>
              <w:t>Hochiminh</w:t>
            </w:r>
            <w:proofErr w:type="spellEnd"/>
            <w:r w:rsidRPr="00D57E13">
              <w:rPr>
                <w:rFonts w:ascii="Arial" w:hAnsi="Arial" w:cs="Arial"/>
                <w:sz w:val="22"/>
              </w:rPr>
              <w:t xml:space="preserve"> City</w:t>
            </w:r>
          </w:p>
        </w:tc>
        <w:tc>
          <w:tcPr>
            <w:tcW w:w="2972" w:type="dxa"/>
            <w:vMerge/>
            <w:vAlign w:val="center"/>
          </w:tcPr>
          <w:p w:rsidR="00962FF4" w:rsidRPr="00D57E13" w:rsidRDefault="00962FF4" w:rsidP="00081CE0">
            <w:pPr>
              <w:spacing w:line="276" w:lineRule="auto"/>
              <w:jc w:val="left"/>
              <w:rPr>
                <w:rFonts w:ascii="Arial" w:hAnsi="Arial" w:cs="Arial"/>
                <w:sz w:val="22"/>
              </w:rPr>
            </w:pPr>
          </w:p>
        </w:tc>
      </w:tr>
      <w:tr w:rsidR="00962FF4" w:rsidRPr="00D57E13" w:rsidTr="00B5517B">
        <w:tc>
          <w:tcPr>
            <w:tcW w:w="575" w:type="dxa"/>
            <w:vAlign w:val="center"/>
          </w:tcPr>
          <w:p w:rsidR="00962FF4" w:rsidRPr="00D57E13" w:rsidRDefault="00962FF4" w:rsidP="00081CE0">
            <w:pPr>
              <w:spacing w:line="276" w:lineRule="auto"/>
              <w:jc w:val="center"/>
              <w:rPr>
                <w:rFonts w:ascii="Arial" w:hAnsi="Arial" w:cs="Arial"/>
                <w:sz w:val="22"/>
              </w:rPr>
            </w:pPr>
            <w:r w:rsidRPr="00D57E13">
              <w:rPr>
                <w:rFonts w:ascii="Arial" w:hAnsi="Arial" w:cs="Arial"/>
                <w:noProof/>
                <w:sz w:val="22"/>
              </w:rPr>
              <w:drawing>
                <wp:inline distT="0" distB="0" distL="0" distR="0" wp14:anchorId="186798FF" wp14:editId="59652808">
                  <wp:extent cx="175286" cy="175286"/>
                  <wp:effectExtent l="0" t="0" r="0" b="0"/>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ảnh có liên qu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05" cy="179405"/>
                          </a:xfrm>
                          <a:prstGeom prst="rect">
                            <a:avLst/>
                          </a:prstGeom>
                          <a:noFill/>
                          <a:ln>
                            <a:noFill/>
                          </a:ln>
                        </pic:spPr>
                      </pic:pic>
                    </a:graphicData>
                  </a:graphic>
                </wp:inline>
              </w:drawing>
            </w:r>
          </w:p>
        </w:tc>
        <w:tc>
          <w:tcPr>
            <w:tcW w:w="2349" w:type="dxa"/>
            <w:gridSpan w:val="2"/>
            <w:vAlign w:val="center"/>
          </w:tcPr>
          <w:p w:rsidR="00962FF4" w:rsidRPr="00D57E13" w:rsidRDefault="00B5517B" w:rsidP="00081CE0">
            <w:pPr>
              <w:spacing w:line="276" w:lineRule="auto"/>
              <w:jc w:val="left"/>
              <w:rPr>
                <w:rFonts w:ascii="Arial" w:hAnsi="Arial" w:cs="Arial"/>
                <w:sz w:val="22"/>
              </w:rPr>
            </w:pPr>
            <w:r w:rsidRPr="00D57E13">
              <w:rPr>
                <w:rFonts w:ascii="Arial" w:hAnsi="Arial" w:cs="Arial"/>
                <w:sz w:val="22"/>
              </w:rPr>
              <w:t>(84-28) 3 822 3155</w:t>
            </w:r>
          </w:p>
        </w:tc>
        <w:tc>
          <w:tcPr>
            <w:tcW w:w="539" w:type="dxa"/>
            <w:vAlign w:val="center"/>
          </w:tcPr>
          <w:p w:rsidR="00962FF4" w:rsidRPr="00D57E13" w:rsidRDefault="00962FF4" w:rsidP="00081CE0">
            <w:pPr>
              <w:spacing w:line="276" w:lineRule="auto"/>
              <w:jc w:val="center"/>
              <w:rPr>
                <w:rFonts w:ascii="Arial" w:hAnsi="Arial" w:cs="Arial"/>
                <w:sz w:val="22"/>
              </w:rPr>
            </w:pPr>
            <w:r w:rsidRPr="00D57E13">
              <w:rPr>
                <w:rFonts w:ascii="Arial" w:hAnsi="Arial" w:cs="Arial"/>
                <w:noProof/>
                <w:sz w:val="22"/>
              </w:rPr>
              <w:drawing>
                <wp:inline distT="0" distB="0" distL="0" distR="0" wp14:anchorId="18BD99FE" wp14:editId="3CC96C02">
                  <wp:extent cx="191415" cy="191415"/>
                  <wp:effectExtent l="0" t="0" r="0" b="0"/>
                  <wp:docPr id="8" name="Picture 8" descr="Kết quả hình ảnh cho fa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ết quả hình ảnh cho fax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521" cy="200521"/>
                          </a:xfrm>
                          <a:prstGeom prst="rect">
                            <a:avLst/>
                          </a:prstGeom>
                          <a:noFill/>
                          <a:ln>
                            <a:noFill/>
                          </a:ln>
                        </pic:spPr>
                      </pic:pic>
                    </a:graphicData>
                  </a:graphic>
                </wp:inline>
              </w:drawing>
            </w:r>
          </w:p>
        </w:tc>
        <w:tc>
          <w:tcPr>
            <w:tcW w:w="3197" w:type="dxa"/>
            <w:vAlign w:val="center"/>
          </w:tcPr>
          <w:p w:rsidR="00962FF4" w:rsidRPr="00D57E13" w:rsidRDefault="00B5517B" w:rsidP="00081CE0">
            <w:pPr>
              <w:spacing w:line="276" w:lineRule="auto"/>
              <w:jc w:val="left"/>
              <w:rPr>
                <w:rFonts w:ascii="Arial" w:hAnsi="Arial" w:cs="Arial"/>
                <w:sz w:val="22"/>
              </w:rPr>
            </w:pPr>
            <w:r w:rsidRPr="00D57E13">
              <w:rPr>
                <w:rFonts w:ascii="Arial" w:hAnsi="Arial" w:cs="Arial"/>
                <w:sz w:val="22"/>
              </w:rPr>
              <w:t>(84-28) 3 823 6902</w:t>
            </w:r>
          </w:p>
        </w:tc>
        <w:tc>
          <w:tcPr>
            <w:tcW w:w="2972" w:type="dxa"/>
            <w:vMerge/>
            <w:vAlign w:val="center"/>
          </w:tcPr>
          <w:p w:rsidR="00962FF4" w:rsidRPr="00D57E13" w:rsidRDefault="00962FF4" w:rsidP="00081CE0">
            <w:pPr>
              <w:spacing w:line="276" w:lineRule="auto"/>
              <w:jc w:val="left"/>
              <w:rPr>
                <w:rFonts w:ascii="Arial" w:hAnsi="Arial" w:cs="Arial"/>
                <w:sz w:val="22"/>
              </w:rPr>
            </w:pPr>
          </w:p>
        </w:tc>
      </w:tr>
      <w:tr w:rsidR="00962FF4" w:rsidRPr="00D57E13" w:rsidTr="00B5517B">
        <w:tc>
          <w:tcPr>
            <w:tcW w:w="575" w:type="dxa"/>
            <w:vAlign w:val="center"/>
          </w:tcPr>
          <w:p w:rsidR="00962FF4" w:rsidRPr="00D57E13" w:rsidRDefault="00962FF4" w:rsidP="00081CE0">
            <w:pPr>
              <w:spacing w:line="276" w:lineRule="auto"/>
              <w:jc w:val="center"/>
              <w:rPr>
                <w:rFonts w:ascii="Arial" w:hAnsi="Arial" w:cs="Arial"/>
                <w:sz w:val="22"/>
              </w:rPr>
            </w:pPr>
            <w:r w:rsidRPr="00D57E13">
              <w:rPr>
                <w:rFonts w:ascii="Arial" w:hAnsi="Arial" w:cs="Arial"/>
                <w:noProof/>
                <w:sz w:val="22"/>
              </w:rPr>
              <w:drawing>
                <wp:inline distT="0" distB="0" distL="0" distR="0" wp14:anchorId="16414E30" wp14:editId="62614986">
                  <wp:extent cx="213360" cy="213360"/>
                  <wp:effectExtent l="0" t="0" r="0" b="0"/>
                  <wp:docPr id="9" name="Picture 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có liên qu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6085" w:type="dxa"/>
            <w:gridSpan w:val="4"/>
            <w:vAlign w:val="center"/>
          </w:tcPr>
          <w:p w:rsidR="00962FF4" w:rsidRPr="00D57E13" w:rsidRDefault="00CC43E1" w:rsidP="00081CE0">
            <w:pPr>
              <w:spacing w:line="276" w:lineRule="auto"/>
              <w:jc w:val="left"/>
              <w:rPr>
                <w:rFonts w:ascii="Arial" w:hAnsi="Arial" w:cs="Arial"/>
                <w:sz w:val="22"/>
              </w:rPr>
            </w:pPr>
            <w:hyperlink r:id="rId15" w:history="1">
              <w:r w:rsidR="00B5517B" w:rsidRPr="00D57E13">
                <w:rPr>
                  <w:rStyle w:val="Hyperlink"/>
                  <w:rFonts w:ascii="Arial" w:hAnsi="Arial" w:cs="Arial"/>
                  <w:sz w:val="22"/>
                </w:rPr>
                <w:t>nghia.truong@ykvn-law.com</w:t>
              </w:r>
            </w:hyperlink>
            <w:r w:rsidR="00B5517B" w:rsidRPr="00D57E13">
              <w:rPr>
                <w:rFonts w:ascii="Arial" w:hAnsi="Arial" w:cs="Arial"/>
                <w:color w:val="666666"/>
                <w:sz w:val="22"/>
                <w:shd w:val="clear" w:color="auto" w:fill="F5F5F5"/>
              </w:rPr>
              <w:t xml:space="preserve"> </w:t>
            </w:r>
          </w:p>
        </w:tc>
        <w:tc>
          <w:tcPr>
            <w:tcW w:w="2972" w:type="dxa"/>
            <w:vMerge/>
            <w:vAlign w:val="center"/>
          </w:tcPr>
          <w:p w:rsidR="00962FF4" w:rsidRPr="00D57E13" w:rsidRDefault="00962FF4" w:rsidP="00081CE0">
            <w:pPr>
              <w:spacing w:line="276" w:lineRule="auto"/>
              <w:jc w:val="left"/>
              <w:rPr>
                <w:rFonts w:ascii="Arial" w:hAnsi="Arial" w:cs="Arial"/>
                <w:sz w:val="22"/>
              </w:rPr>
            </w:pPr>
          </w:p>
        </w:tc>
      </w:tr>
      <w:tr w:rsidR="00962FF4" w:rsidRPr="00D57E13" w:rsidTr="00B5517B">
        <w:trPr>
          <w:trHeight w:val="512"/>
        </w:trPr>
        <w:tc>
          <w:tcPr>
            <w:tcW w:w="575" w:type="dxa"/>
            <w:vAlign w:val="center"/>
          </w:tcPr>
          <w:p w:rsidR="00962FF4" w:rsidRPr="00D57E13" w:rsidRDefault="00962FF4" w:rsidP="00081CE0">
            <w:pPr>
              <w:spacing w:line="276" w:lineRule="auto"/>
              <w:ind w:right="27"/>
              <w:jc w:val="center"/>
              <w:rPr>
                <w:rFonts w:ascii="Arial" w:hAnsi="Arial" w:cs="Arial"/>
                <w:sz w:val="22"/>
              </w:rPr>
            </w:pPr>
            <w:r w:rsidRPr="00D57E13">
              <w:rPr>
                <w:rFonts w:ascii="Arial" w:hAnsi="Arial" w:cs="Arial"/>
                <w:noProof/>
                <w:sz w:val="22"/>
              </w:rPr>
              <w:drawing>
                <wp:inline distT="0" distB="0" distL="0" distR="0" wp14:anchorId="494E7B76" wp14:editId="62E33947">
                  <wp:extent cx="160934" cy="160934"/>
                  <wp:effectExtent l="0" t="0" r="0" b="0"/>
                  <wp:docPr id="10" name="Picture 10" descr="Kết quả hình ảnh cho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ết quả hình ảnh cho languag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829" cy="161829"/>
                          </a:xfrm>
                          <a:prstGeom prst="rect">
                            <a:avLst/>
                          </a:prstGeom>
                          <a:noFill/>
                          <a:ln>
                            <a:noFill/>
                          </a:ln>
                        </pic:spPr>
                      </pic:pic>
                    </a:graphicData>
                  </a:graphic>
                </wp:inline>
              </w:drawing>
            </w:r>
          </w:p>
        </w:tc>
        <w:tc>
          <w:tcPr>
            <w:tcW w:w="6085" w:type="dxa"/>
            <w:gridSpan w:val="4"/>
            <w:vAlign w:val="center"/>
          </w:tcPr>
          <w:p w:rsidR="00962FF4" w:rsidRPr="00D57E13" w:rsidRDefault="00D66347" w:rsidP="00081CE0">
            <w:pPr>
              <w:spacing w:line="276" w:lineRule="auto"/>
              <w:ind w:right="27"/>
              <w:jc w:val="left"/>
              <w:rPr>
                <w:rFonts w:ascii="Arial" w:hAnsi="Arial" w:cs="Arial"/>
                <w:sz w:val="22"/>
              </w:rPr>
            </w:pPr>
            <w:r w:rsidRPr="00D57E13">
              <w:rPr>
                <w:rFonts w:ascii="Arial" w:hAnsi="Arial" w:cs="Arial"/>
                <w:sz w:val="22"/>
              </w:rPr>
              <w:t>Fluent in Vietnamese, English</w:t>
            </w:r>
          </w:p>
        </w:tc>
        <w:tc>
          <w:tcPr>
            <w:tcW w:w="2972" w:type="dxa"/>
            <w:vMerge/>
            <w:vAlign w:val="center"/>
          </w:tcPr>
          <w:p w:rsidR="00962FF4" w:rsidRPr="00D57E13" w:rsidRDefault="00962FF4" w:rsidP="00081CE0">
            <w:pPr>
              <w:spacing w:line="276" w:lineRule="auto"/>
              <w:jc w:val="left"/>
              <w:rPr>
                <w:rFonts w:ascii="Arial" w:hAnsi="Arial" w:cs="Arial"/>
                <w:sz w:val="22"/>
              </w:rPr>
            </w:pPr>
          </w:p>
        </w:tc>
      </w:tr>
      <w:tr w:rsidR="008D6A62" w:rsidRPr="00D57E13" w:rsidTr="00962FF4">
        <w:tc>
          <w:tcPr>
            <w:tcW w:w="9632" w:type="dxa"/>
            <w:gridSpan w:val="6"/>
          </w:tcPr>
          <w:p w:rsidR="008D6A62" w:rsidRPr="00D57E13" w:rsidRDefault="00D66347" w:rsidP="008D6A62">
            <w:pPr>
              <w:spacing w:line="276" w:lineRule="auto"/>
              <w:rPr>
                <w:rFonts w:ascii="Arial" w:hAnsi="Arial" w:cs="Arial"/>
                <w:sz w:val="22"/>
              </w:rPr>
            </w:pPr>
            <w:r w:rsidRPr="00D57E13">
              <w:rPr>
                <w:rFonts w:ascii="Arial" w:hAnsi="Arial" w:cs="Arial"/>
                <w:b/>
                <w:sz w:val="22"/>
                <w:u w:val="single"/>
              </w:rPr>
              <w:t>Career</w:t>
            </w:r>
          </w:p>
        </w:tc>
      </w:tr>
      <w:tr w:rsidR="008D6A62" w:rsidRPr="00D57E13" w:rsidTr="00B5517B">
        <w:tc>
          <w:tcPr>
            <w:tcW w:w="2340" w:type="dxa"/>
            <w:gridSpan w:val="2"/>
          </w:tcPr>
          <w:p w:rsidR="008D6A62" w:rsidRPr="00D57E13" w:rsidRDefault="00362F85" w:rsidP="00B5517B">
            <w:pPr>
              <w:spacing w:line="276" w:lineRule="auto"/>
              <w:jc w:val="center"/>
              <w:rPr>
                <w:rFonts w:ascii="Arial" w:hAnsi="Arial" w:cs="Arial"/>
                <w:sz w:val="22"/>
              </w:rPr>
            </w:pPr>
            <w:r w:rsidRPr="00D57E13">
              <w:rPr>
                <w:rFonts w:ascii="Arial" w:hAnsi="Arial" w:cs="Arial"/>
                <w:sz w:val="22"/>
              </w:rPr>
              <w:t>1980</w:t>
            </w:r>
          </w:p>
        </w:tc>
        <w:tc>
          <w:tcPr>
            <w:tcW w:w="7292" w:type="dxa"/>
            <w:gridSpan w:val="4"/>
          </w:tcPr>
          <w:p w:rsidR="008D6A62" w:rsidRPr="00D57E13" w:rsidRDefault="00D66347" w:rsidP="00D66347">
            <w:pPr>
              <w:spacing w:line="276" w:lineRule="auto"/>
              <w:ind w:right="27"/>
              <w:rPr>
                <w:rFonts w:ascii="Arial" w:hAnsi="Arial" w:cs="Arial"/>
                <w:sz w:val="22"/>
              </w:rPr>
            </w:pPr>
            <w:r w:rsidRPr="00D57E13">
              <w:rPr>
                <w:rFonts w:ascii="Arial" w:hAnsi="Arial" w:cs="Arial"/>
                <w:sz w:val="22"/>
              </w:rPr>
              <w:t>LL.B.</w:t>
            </w:r>
            <w:r w:rsidR="00362F85" w:rsidRPr="00D57E13">
              <w:rPr>
                <w:rFonts w:ascii="Arial" w:hAnsi="Arial" w:cs="Arial"/>
                <w:sz w:val="22"/>
              </w:rPr>
              <w:t>, Karl Marx</w:t>
            </w:r>
            <w:r w:rsidRPr="00D57E13">
              <w:rPr>
                <w:rFonts w:ascii="Arial" w:hAnsi="Arial" w:cs="Arial"/>
                <w:sz w:val="22"/>
              </w:rPr>
              <w:t xml:space="preserve"> University, Germany</w:t>
            </w:r>
          </w:p>
        </w:tc>
      </w:tr>
      <w:tr w:rsidR="00362F85" w:rsidRPr="00D57E13" w:rsidTr="00B5517B">
        <w:tc>
          <w:tcPr>
            <w:tcW w:w="2340" w:type="dxa"/>
            <w:gridSpan w:val="2"/>
          </w:tcPr>
          <w:p w:rsidR="00362F85" w:rsidRPr="00D57E13" w:rsidRDefault="00362F85" w:rsidP="00B5517B">
            <w:pPr>
              <w:spacing w:line="276" w:lineRule="auto"/>
              <w:jc w:val="center"/>
              <w:rPr>
                <w:rFonts w:ascii="Arial" w:hAnsi="Arial" w:cs="Arial"/>
                <w:sz w:val="22"/>
              </w:rPr>
            </w:pPr>
            <w:r w:rsidRPr="00D57E13">
              <w:rPr>
                <w:rFonts w:ascii="Arial" w:hAnsi="Arial" w:cs="Arial"/>
                <w:sz w:val="22"/>
              </w:rPr>
              <w:t>1995</w:t>
            </w:r>
          </w:p>
        </w:tc>
        <w:tc>
          <w:tcPr>
            <w:tcW w:w="7292" w:type="dxa"/>
            <w:gridSpan w:val="4"/>
          </w:tcPr>
          <w:p w:rsidR="00362F85" w:rsidRPr="00D57E13" w:rsidRDefault="00A46391" w:rsidP="00763E99">
            <w:pPr>
              <w:spacing w:line="276" w:lineRule="auto"/>
              <w:ind w:right="27"/>
              <w:rPr>
                <w:rFonts w:ascii="Arial" w:hAnsi="Arial" w:cs="Arial"/>
                <w:sz w:val="22"/>
              </w:rPr>
            </w:pPr>
            <w:r w:rsidRPr="00D57E13">
              <w:rPr>
                <w:rFonts w:ascii="Arial" w:hAnsi="Arial" w:cs="Arial"/>
                <w:sz w:val="22"/>
              </w:rPr>
              <w:t>Master of Comparative Jurisprudence</w:t>
            </w:r>
            <w:r w:rsidR="00362F85" w:rsidRPr="00D57E13">
              <w:rPr>
                <w:rFonts w:ascii="Arial" w:hAnsi="Arial" w:cs="Arial"/>
                <w:sz w:val="22"/>
              </w:rPr>
              <w:t xml:space="preserve"> (MCJ), New York </w:t>
            </w:r>
            <w:r w:rsidR="00763E99" w:rsidRPr="00D57E13">
              <w:rPr>
                <w:rFonts w:ascii="Arial" w:hAnsi="Arial" w:cs="Arial"/>
                <w:sz w:val="22"/>
              </w:rPr>
              <w:t>University (NYU), United State</w:t>
            </w:r>
          </w:p>
        </w:tc>
      </w:tr>
      <w:tr w:rsidR="008D6A62" w:rsidRPr="00D57E13" w:rsidTr="00962FF4">
        <w:tc>
          <w:tcPr>
            <w:tcW w:w="9632" w:type="dxa"/>
            <w:gridSpan w:val="6"/>
          </w:tcPr>
          <w:p w:rsidR="008D6A62" w:rsidRPr="00D57E13" w:rsidRDefault="00763E99" w:rsidP="008D6A62">
            <w:pPr>
              <w:spacing w:line="276" w:lineRule="auto"/>
              <w:rPr>
                <w:rFonts w:ascii="Arial" w:hAnsi="Arial" w:cs="Arial"/>
                <w:sz w:val="22"/>
              </w:rPr>
            </w:pPr>
            <w:r w:rsidRPr="00D57E13">
              <w:rPr>
                <w:rFonts w:ascii="Arial" w:hAnsi="Arial" w:cs="Arial"/>
                <w:b/>
                <w:sz w:val="22"/>
                <w:u w:val="single"/>
              </w:rPr>
              <w:t>Areas of Practice</w:t>
            </w:r>
          </w:p>
        </w:tc>
      </w:tr>
      <w:tr w:rsidR="00C11D74" w:rsidRPr="00D57E13" w:rsidTr="00962FF4">
        <w:tc>
          <w:tcPr>
            <w:tcW w:w="9632" w:type="dxa"/>
            <w:gridSpan w:val="6"/>
          </w:tcPr>
          <w:p w:rsidR="00C11D74" w:rsidRPr="00D57E13" w:rsidRDefault="00763E99" w:rsidP="008D6A62">
            <w:pPr>
              <w:spacing w:line="276" w:lineRule="auto"/>
              <w:rPr>
                <w:rFonts w:ascii="Arial" w:hAnsi="Arial" w:cs="Arial"/>
                <w:sz w:val="22"/>
              </w:rPr>
            </w:pPr>
            <w:r w:rsidRPr="00D57E13">
              <w:rPr>
                <w:rFonts w:ascii="Arial" w:hAnsi="Arial" w:cs="Arial"/>
                <w:sz w:val="22"/>
              </w:rPr>
              <w:t>Dispute resolution</w:t>
            </w:r>
            <w:r w:rsidR="00D074FB" w:rsidRPr="00D57E13">
              <w:rPr>
                <w:rFonts w:ascii="Arial" w:hAnsi="Arial" w:cs="Arial"/>
                <w:sz w:val="22"/>
              </w:rPr>
              <w:t>,</w:t>
            </w:r>
            <w:r w:rsidRPr="00D57E13">
              <w:rPr>
                <w:rFonts w:ascii="Arial" w:hAnsi="Arial" w:cs="Arial"/>
                <w:sz w:val="22"/>
              </w:rPr>
              <w:t xml:space="preserve"> Litigation</w:t>
            </w:r>
            <w:r w:rsidR="00D074FB" w:rsidRPr="00D57E13">
              <w:rPr>
                <w:rFonts w:ascii="Arial" w:hAnsi="Arial" w:cs="Arial"/>
                <w:sz w:val="22"/>
              </w:rPr>
              <w:t>,</w:t>
            </w:r>
            <w:r w:rsidRPr="00D57E13">
              <w:rPr>
                <w:rFonts w:ascii="Arial" w:hAnsi="Arial" w:cs="Arial"/>
                <w:sz w:val="22"/>
              </w:rPr>
              <w:t xml:space="preserve"> Arbitration</w:t>
            </w:r>
            <w:r w:rsidR="00D074FB" w:rsidRPr="00D57E13">
              <w:rPr>
                <w:rFonts w:ascii="Arial" w:hAnsi="Arial" w:cs="Arial"/>
                <w:sz w:val="22"/>
              </w:rPr>
              <w:t>, Corporate, M&amp;</w:t>
            </w:r>
            <w:r w:rsidRPr="00D57E13">
              <w:rPr>
                <w:rFonts w:ascii="Arial" w:hAnsi="Arial" w:cs="Arial"/>
                <w:sz w:val="22"/>
              </w:rPr>
              <w:t>A</w:t>
            </w:r>
            <w:r w:rsidR="00D074FB" w:rsidRPr="00D57E13">
              <w:rPr>
                <w:rFonts w:ascii="Arial" w:hAnsi="Arial" w:cs="Arial"/>
                <w:sz w:val="22"/>
              </w:rPr>
              <w:t>,</w:t>
            </w:r>
            <w:r w:rsidRPr="00D57E13">
              <w:rPr>
                <w:rFonts w:ascii="Arial" w:hAnsi="Arial" w:cs="Arial"/>
                <w:sz w:val="22"/>
              </w:rPr>
              <w:t xml:space="preserve"> Project Finance</w:t>
            </w:r>
            <w:r w:rsidR="00D074FB" w:rsidRPr="00D57E13">
              <w:rPr>
                <w:rFonts w:ascii="Arial" w:hAnsi="Arial" w:cs="Arial"/>
                <w:sz w:val="22"/>
              </w:rPr>
              <w:t>,</w:t>
            </w:r>
            <w:r w:rsidRPr="00D57E13">
              <w:rPr>
                <w:rFonts w:ascii="Arial" w:hAnsi="Arial" w:cs="Arial"/>
                <w:sz w:val="22"/>
              </w:rPr>
              <w:t xml:space="preserve"> Foreign Investment</w:t>
            </w:r>
          </w:p>
        </w:tc>
      </w:tr>
      <w:tr w:rsidR="00B9177C" w:rsidRPr="00D57E13" w:rsidTr="00962FF4">
        <w:tc>
          <w:tcPr>
            <w:tcW w:w="9632" w:type="dxa"/>
            <w:gridSpan w:val="6"/>
          </w:tcPr>
          <w:p w:rsidR="00B9177C" w:rsidRPr="00D57E13" w:rsidRDefault="00D074FB" w:rsidP="008D6A62">
            <w:pPr>
              <w:spacing w:line="276" w:lineRule="auto"/>
              <w:rPr>
                <w:rFonts w:ascii="Arial" w:hAnsi="Arial" w:cs="Arial"/>
                <w:b/>
                <w:sz w:val="22"/>
                <w:u w:val="single"/>
              </w:rPr>
            </w:pPr>
            <w:r w:rsidRPr="00D57E13">
              <w:rPr>
                <w:rFonts w:ascii="Arial" w:hAnsi="Arial" w:cs="Arial"/>
                <w:b/>
                <w:sz w:val="22"/>
                <w:u w:val="single"/>
              </w:rPr>
              <w:t>Bar Membership</w:t>
            </w:r>
          </w:p>
        </w:tc>
      </w:tr>
      <w:tr w:rsidR="00CD7791" w:rsidRPr="00D57E13" w:rsidTr="00962FF4">
        <w:tc>
          <w:tcPr>
            <w:tcW w:w="9632" w:type="dxa"/>
            <w:gridSpan w:val="6"/>
          </w:tcPr>
          <w:p w:rsidR="00CD7791" w:rsidRPr="00D57E13" w:rsidRDefault="00FD38CC" w:rsidP="008D6A62">
            <w:pPr>
              <w:spacing w:line="276" w:lineRule="auto"/>
              <w:rPr>
                <w:rFonts w:ascii="Arial" w:hAnsi="Arial" w:cs="Arial"/>
                <w:b/>
                <w:sz w:val="22"/>
                <w:u w:val="single"/>
              </w:rPr>
            </w:pPr>
            <w:r w:rsidRPr="00D57E13">
              <w:rPr>
                <w:rFonts w:ascii="Arial" w:hAnsi="Arial" w:cs="Arial"/>
                <w:sz w:val="22"/>
              </w:rPr>
              <w:t>Vietnam Bar Federation (Vice</w:t>
            </w:r>
            <w:r w:rsidR="00D57E13">
              <w:rPr>
                <w:rFonts w:ascii="Arial" w:hAnsi="Arial" w:cs="Arial"/>
                <w:sz w:val="22"/>
              </w:rPr>
              <w:t>-</w:t>
            </w:r>
            <w:r w:rsidRPr="00D57E13">
              <w:rPr>
                <w:rFonts w:ascii="Arial" w:hAnsi="Arial" w:cs="Arial"/>
                <w:sz w:val="22"/>
              </w:rPr>
              <w:t>President since 2009)</w:t>
            </w:r>
          </w:p>
        </w:tc>
      </w:tr>
      <w:tr w:rsidR="00CD7791" w:rsidRPr="00D57E13" w:rsidTr="00962FF4">
        <w:tc>
          <w:tcPr>
            <w:tcW w:w="9632" w:type="dxa"/>
            <w:gridSpan w:val="6"/>
          </w:tcPr>
          <w:p w:rsidR="00CD7791" w:rsidRPr="00D57E13" w:rsidRDefault="00FD38CC" w:rsidP="008D6A62">
            <w:pPr>
              <w:spacing w:line="276" w:lineRule="auto"/>
              <w:rPr>
                <w:rFonts w:ascii="Arial" w:hAnsi="Arial" w:cs="Arial"/>
                <w:b/>
                <w:sz w:val="22"/>
                <w:u w:val="single"/>
              </w:rPr>
            </w:pPr>
            <w:r w:rsidRPr="00D57E13">
              <w:rPr>
                <w:rFonts w:ascii="Arial" w:hAnsi="Arial" w:cs="Arial"/>
                <w:sz w:val="22"/>
              </w:rPr>
              <w:t>Ho Chi Minh City Bar Association (Vice-President since 2008)</w:t>
            </w:r>
          </w:p>
        </w:tc>
      </w:tr>
      <w:tr w:rsidR="00CD7791" w:rsidRPr="00D57E13" w:rsidTr="00962FF4">
        <w:tc>
          <w:tcPr>
            <w:tcW w:w="9632" w:type="dxa"/>
            <w:gridSpan w:val="6"/>
          </w:tcPr>
          <w:p w:rsidR="00CD7791" w:rsidRPr="00D57E13" w:rsidRDefault="00FD38CC" w:rsidP="008D6A62">
            <w:pPr>
              <w:spacing w:line="276" w:lineRule="auto"/>
              <w:rPr>
                <w:rFonts w:ascii="Arial" w:hAnsi="Arial" w:cs="Arial"/>
                <w:b/>
                <w:sz w:val="22"/>
                <w:u w:val="single"/>
              </w:rPr>
            </w:pPr>
            <w:r w:rsidRPr="00D57E13">
              <w:rPr>
                <w:rFonts w:ascii="Arial" w:hAnsi="Arial" w:cs="Arial"/>
                <w:sz w:val="22"/>
              </w:rPr>
              <w:t>Vietnam’s Alternate Councilor in LAWASIA Council</w:t>
            </w:r>
          </w:p>
        </w:tc>
      </w:tr>
      <w:tr w:rsidR="00CD7791" w:rsidRPr="00D57E13" w:rsidTr="00962FF4">
        <w:tc>
          <w:tcPr>
            <w:tcW w:w="9632" w:type="dxa"/>
            <w:gridSpan w:val="6"/>
          </w:tcPr>
          <w:p w:rsidR="00CD7791" w:rsidRPr="00D57E13" w:rsidRDefault="00DD0259" w:rsidP="00DD0259">
            <w:pPr>
              <w:spacing w:line="276" w:lineRule="auto"/>
              <w:rPr>
                <w:rFonts w:ascii="Arial" w:hAnsi="Arial" w:cs="Arial"/>
                <w:b/>
                <w:sz w:val="22"/>
                <w:u w:val="single"/>
              </w:rPr>
            </w:pPr>
            <w:r w:rsidRPr="00D57E13">
              <w:rPr>
                <w:rFonts w:ascii="Arial" w:hAnsi="Arial" w:cs="Arial"/>
                <w:sz w:val="22"/>
              </w:rPr>
              <w:t xml:space="preserve">Inter-Pacific Bar Association </w:t>
            </w:r>
          </w:p>
        </w:tc>
      </w:tr>
      <w:tr w:rsidR="00CD7791" w:rsidRPr="00D57E13" w:rsidTr="00962FF4">
        <w:tc>
          <w:tcPr>
            <w:tcW w:w="9632" w:type="dxa"/>
            <w:gridSpan w:val="6"/>
          </w:tcPr>
          <w:p w:rsidR="00CD7791" w:rsidRPr="00D57E13" w:rsidRDefault="00DD0259" w:rsidP="008D6A62">
            <w:pPr>
              <w:spacing w:line="276" w:lineRule="auto"/>
              <w:rPr>
                <w:rFonts w:ascii="Arial" w:hAnsi="Arial" w:cs="Arial"/>
                <w:b/>
                <w:sz w:val="22"/>
                <w:u w:val="single"/>
              </w:rPr>
            </w:pPr>
            <w:r w:rsidRPr="00D57E13">
              <w:rPr>
                <w:rFonts w:ascii="Arial" w:hAnsi="Arial" w:cs="Arial"/>
                <w:sz w:val="22"/>
              </w:rPr>
              <w:t>Arbitrator of International Arbitration Center (VIAC)</w:t>
            </w:r>
          </w:p>
        </w:tc>
      </w:tr>
      <w:tr w:rsidR="00CD7791" w:rsidRPr="00D57E13" w:rsidTr="00962FF4">
        <w:tc>
          <w:tcPr>
            <w:tcW w:w="9632" w:type="dxa"/>
            <w:gridSpan w:val="6"/>
          </w:tcPr>
          <w:p w:rsidR="00CD7791" w:rsidRPr="00D57E13" w:rsidRDefault="00DD0259" w:rsidP="008D6A62">
            <w:pPr>
              <w:spacing w:line="276" w:lineRule="auto"/>
              <w:rPr>
                <w:rFonts w:ascii="Arial" w:hAnsi="Arial" w:cs="Arial"/>
                <w:b/>
                <w:sz w:val="22"/>
                <w:u w:val="single"/>
              </w:rPr>
            </w:pPr>
            <w:r w:rsidRPr="00D57E13">
              <w:rPr>
                <w:rFonts w:ascii="Arial" w:hAnsi="Arial" w:cs="Arial"/>
                <w:b/>
                <w:sz w:val="22"/>
                <w:u w:val="single"/>
              </w:rPr>
              <w:t>Advisory Experience</w:t>
            </w:r>
          </w:p>
        </w:tc>
      </w:tr>
      <w:tr w:rsidR="00CD7791" w:rsidRPr="00D57E13" w:rsidTr="00962FF4">
        <w:tc>
          <w:tcPr>
            <w:tcW w:w="9632" w:type="dxa"/>
            <w:gridSpan w:val="6"/>
          </w:tcPr>
          <w:p w:rsidR="00E22963" w:rsidRPr="00D57E13" w:rsidRDefault="00F30B23" w:rsidP="008D6A62">
            <w:pPr>
              <w:spacing w:line="276" w:lineRule="auto"/>
              <w:rPr>
                <w:rFonts w:ascii="Arial" w:hAnsi="Arial" w:cs="Arial"/>
                <w:sz w:val="22"/>
              </w:rPr>
            </w:pPr>
            <w:r w:rsidRPr="00D57E13">
              <w:rPr>
                <w:rFonts w:ascii="Arial" w:hAnsi="Arial" w:cs="Arial"/>
                <w:sz w:val="22"/>
              </w:rPr>
              <w:t xml:space="preserve">Truong </w:t>
            </w:r>
            <w:proofErr w:type="spellStart"/>
            <w:r w:rsidRPr="00D57E13">
              <w:rPr>
                <w:rFonts w:ascii="Arial" w:hAnsi="Arial" w:cs="Arial"/>
                <w:sz w:val="22"/>
              </w:rPr>
              <w:t>Trong</w:t>
            </w:r>
            <w:proofErr w:type="spellEnd"/>
            <w:r w:rsidRPr="00D57E13">
              <w:rPr>
                <w:rFonts w:ascii="Arial" w:hAnsi="Arial" w:cs="Arial"/>
                <w:sz w:val="22"/>
              </w:rPr>
              <w:t xml:space="preserve"> </w:t>
            </w:r>
            <w:proofErr w:type="spellStart"/>
            <w:r w:rsidRPr="00D57E13">
              <w:rPr>
                <w:rFonts w:ascii="Arial" w:hAnsi="Arial" w:cs="Arial"/>
                <w:sz w:val="22"/>
              </w:rPr>
              <w:t>Nghia</w:t>
            </w:r>
            <w:proofErr w:type="spellEnd"/>
            <w:r w:rsidRPr="00D57E13">
              <w:rPr>
                <w:rFonts w:ascii="Arial" w:hAnsi="Arial" w:cs="Arial"/>
                <w:sz w:val="22"/>
              </w:rPr>
              <w:t xml:space="preserve"> is one of the co-chairs of YKVN's litigation practice and is well-recognized as one of Vietnam's most experienced litigators with over 25 years of litigation and arbitration experience. He also regularly advises domestic and foreign companies on corporate, trade, foreign investment and M&amp;A matters. </w:t>
            </w:r>
            <w:proofErr w:type="spellStart"/>
            <w:r w:rsidRPr="00D57E13">
              <w:rPr>
                <w:rFonts w:ascii="Arial" w:hAnsi="Arial" w:cs="Arial"/>
                <w:sz w:val="22"/>
              </w:rPr>
              <w:t>Nghia’s</w:t>
            </w:r>
            <w:proofErr w:type="spellEnd"/>
            <w:r w:rsidRPr="00D57E13">
              <w:rPr>
                <w:rFonts w:ascii="Arial" w:hAnsi="Arial" w:cs="Arial"/>
                <w:sz w:val="22"/>
              </w:rPr>
              <w:t xml:space="preserve"> clients include major Vietnamese corporates including VNPT, Vietnam Steel Corporation, BIDV, Saigon Petro, </w:t>
            </w:r>
            <w:proofErr w:type="spellStart"/>
            <w:r w:rsidRPr="00D57E13">
              <w:rPr>
                <w:rFonts w:ascii="Arial" w:hAnsi="Arial" w:cs="Arial"/>
                <w:sz w:val="22"/>
              </w:rPr>
              <w:t>Satra</w:t>
            </w:r>
            <w:proofErr w:type="spellEnd"/>
            <w:r w:rsidRPr="00D57E13">
              <w:rPr>
                <w:rFonts w:ascii="Arial" w:hAnsi="Arial" w:cs="Arial"/>
                <w:sz w:val="22"/>
              </w:rPr>
              <w:t xml:space="preserve">, </w:t>
            </w:r>
            <w:proofErr w:type="spellStart"/>
            <w:r w:rsidRPr="00D57E13">
              <w:rPr>
                <w:rFonts w:ascii="Arial" w:hAnsi="Arial" w:cs="Arial"/>
                <w:sz w:val="22"/>
              </w:rPr>
              <w:t>Sovico</w:t>
            </w:r>
            <w:proofErr w:type="spellEnd"/>
            <w:r w:rsidRPr="00D57E13">
              <w:rPr>
                <w:rFonts w:ascii="Arial" w:hAnsi="Arial" w:cs="Arial"/>
                <w:sz w:val="22"/>
              </w:rPr>
              <w:t xml:space="preserve"> and Saigon Coop, as well as foreign-invested enterprises and multinationals like Exxon Mobil, American Coffee, </w:t>
            </w:r>
            <w:proofErr w:type="spellStart"/>
            <w:r w:rsidRPr="00D57E13">
              <w:rPr>
                <w:rFonts w:ascii="Arial" w:hAnsi="Arial" w:cs="Arial"/>
                <w:sz w:val="22"/>
              </w:rPr>
              <w:lastRenderedPageBreak/>
              <w:t>Bachy</w:t>
            </w:r>
            <w:proofErr w:type="spellEnd"/>
            <w:r w:rsidRPr="00D57E13">
              <w:rPr>
                <w:rFonts w:ascii="Arial" w:hAnsi="Arial" w:cs="Arial"/>
                <w:sz w:val="22"/>
              </w:rPr>
              <w:t xml:space="preserve"> </w:t>
            </w:r>
            <w:proofErr w:type="spellStart"/>
            <w:r w:rsidRPr="00D57E13">
              <w:rPr>
                <w:rFonts w:ascii="Arial" w:hAnsi="Arial" w:cs="Arial"/>
                <w:sz w:val="22"/>
              </w:rPr>
              <w:t>Soletance</w:t>
            </w:r>
            <w:proofErr w:type="spellEnd"/>
            <w:r w:rsidRPr="00D57E13">
              <w:rPr>
                <w:rFonts w:ascii="Arial" w:hAnsi="Arial" w:cs="Arial"/>
                <w:sz w:val="22"/>
              </w:rPr>
              <w:t xml:space="preserve">, </w:t>
            </w:r>
            <w:proofErr w:type="spellStart"/>
            <w:r w:rsidRPr="00D57E13">
              <w:rPr>
                <w:rFonts w:ascii="Arial" w:hAnsi="Arial" w:cs="Arial"/>
                <w:sz w:val="22"/>
              </w:rPr>
              <w:t>Planergo</w:t>
            </w:r>
            <w:proofErr w:type="spellEnd"/>
            <w:r w:rsidRPr="00D57E13">
              <w:rPr>
                <w:rFonts w:ascii="Arial" w:hAnsi="Arial" w:cs="Arial"/>
                <w:sz w:val="22"/>
              </w:rPr>
              <w:t xml:space="preserve">, Pico, P&amp;G, Metro Cash &amp; Carry, RMIT, Academic Colleges Group (ACG), European Investment Bank (EIB), Standard Chartered Bank, Indochina Capital, Richmond Group and AGS. </w:t>
            </w:r>
          </w:p>
          <w:p w:rsidR="00E22963" w:rsidRPr="00D57E13" w:rsidRDefault="00F30B23" w:rsidP="008D6A62">
            <w:pPr>
              <w:spacing w:line="276" w:lineRule="auto"/>
              <w:rPr>
                <w:rFonts w:ascii="Arial" w:hAnsi="Arial" w:cs="Arial"/>
                <w:sz w:val="22"/>
              </w:rPr>
            </w:pPr>
            <w:r w:rsidRPr="00D57E13">
              <w:rPr>
                <w:rFonts w:ascii="Arial" w:hAnsi="Arial" w:cs="Arial"/>
                <w:sz w:val="22"/>
              </w:rPr>
              <w:t xml:space="preserve">He has been recommended by Legal 500 (2009-2010) in the area of dispute resolution. Chambers &amp; Partners (2011) noted that Truong </w:t>
            </w:r>
            <w:proofErr w:type="spellStart"/>
            <w:r w:rsidRPr="00D57E13">
              <w:rPr>
                <w:rFonts w:ascii="Arial" w:hAnsi="Arial" w:cs="Arial"/>
                <w:sz w:val="22"/>
              </w:rPr>
              <w:t>Trong</w:t>
            </w:r>
            <w:proofErr w:type="spellEnd"/>
            <w:r w:rsidRPr="00D57E13">
              <w:rPr>
                <w:rFonts w:ascii="Arial" w:hAnsi="Arial" w:cs="Arial"/>
                <w:sz w:val="22"/>
              </w:rPr>
              <w:t xml:space="preserve"> </w:t>
            </w:r>
            <w:proofErr w:type="spellStart"/>
            <w:r w:rsidRPr="00D57E13">
              <w:rPr>
                <w:rFonts w:ascii="Arial" w:hAnsi="Arial" w:cs="Arial"/>
                <w:sz w:val="22"/>
              </w:rPr>
              <w:t>Nghia</w:t>
            </w:r>
            <w:proofErr w:type="spellEnd"/>
            <w:r w:rsidRPr="00D57E13">
              <w:rPr>
                <w:rFonts w:ascii="Arial" w:hAnsi="Arial" w:cs="Arial"/>
                <w:sz w:val="22"/>
              </w:rPr>
              <w:t xml:space="preserve"> has been “pivotal to the Vietnam legal community for many years”, and is one of “very well-known and experienced litigators who are sought out for their counsel on some of the most complicated cases.” Chambers &amp; Partners (2012) remarked that Truong </w:t>
            </w:r>
            <w:proofErr w:type="spellStart"/>
            <w:r w:rsidRPr="00D57E13">
              <w:rPr>
                <w:rFonts w:ascii="Arial" w:hAnsi="Arial" w:cs="Arial"/>
                <w:sz w:val="22"/>
              </w:rPr>
              <w:t>Trong</w:t>
            </w:r>
            <w:proofErr w:type="spellEnd"/>
            <w:r w:rsidRPr="00D57E13">
              <w:rPr>
                <w:rFonts w:ascii="Arial" w:hAnsi="Arial" w:cs="Arial"/>
                <w:sz w:val="22"/>
              </w:rPr>
              <w:t xml:space="preserve"> </w:t>
            </w:r>
            <w:proofErr w:type="spellStart"/>
            <w:r w:rsidRPr="00D57E13">
              <w:rPr>
                <w:rFonts w:ascii="Arial" w:hAnsi="Arial" w:cs="Arial"/>
                <w:sz w:val="22"/>
              </w:rPr>
              <w:t>Nghia</w:t>
            </w:r>
            <w:proofErr w:type="spellEnd"/>
            <w:r w:rsidRPr="00D57E13">
              <w:rPr>
                <w:rFonts w:ascii="Arial" w:hAnsi="Arial" w:cs="Arial"/>
                <w:sz w:val="22"/>
              </w:rPr>
              <w:t xml:space="preserve"> is “a well-established figure in the Vietnamese legal community and is sought after for his advice in complex cases”. Asia Law Profiles (2012) remarked that he is one of the “most successful and respected litigators in Vietnam”. </w:t>
            </w:r>
            <w:proofErr w:type="spellStart"/>
            <w:r w:rsidRPr="00D57E13">
              <w:rPr>
                <w:rFonts w:ascii="Arial" w:hAnsi="Arial" w:cs="Arial"/>
                <w:sz w:val="22"/>
              </w:rPr>
              <w:t>Nghia</w:t>
            </w:r>
            <w:proofErr w:type="spellEnd"/>
            <w:r w:rsidRPr="00D57E13">
              <w:rPr>
                <w:rFonts w:ascii="Arial" w:hAnsi="Arial" w:cs="Arial"/>
                <w:sz w:val="22"/>
              </w:rPr>
              <w:t xml:space="preserve"> has been ranked Band 1 by Chambers &amp; Partners in 2011, 2012, 2013 and 2014. </w:t>
            </w:r>
          </w:p>
          <w:p w:rsidR="00CD7791" w:rsidRPr="00D57E13" w:rsidRDefault="00E22963" w:rsidP="008D6A62">
            <w:pPr>
              <w:spacing w:line="276" w:lineRule="auto"/>
              <w:rPr>
                <w:rFonts w:ascii="Arial" w:hAnsi="Arial" w:cs="Arial"/>
                <w:sz w:val="22"/>
              </w:rPr>
            </w:pPr>
            <w:r w:rsidRPr="00D57E13">
              <w:rPr>
                <w:rFonts w:ascii="Arial" w:hAnsi="Arial" w:cs="Arial"/>
                <w:sz w:val="22"/>
              </w:rPr>
              <w:t>He is o</w:t>
            </w:r>
            <w:r w:rsidR="00F30B23" w:rsidRPr="00D57E13">
              <w:rPr>
                <w:rFonts w:ascii="Arial" w:hAnsi="Arial" w:cs="Arial"/>
                <w:sz w:val="22"/>
              </w:rPr>
              <w:t xml:space="preserve">ne of the first Vietnamese Fulbright Scholars who has </w:t>
            </w:r>
            <w:r w:rsidRPr="00D57E13">
              <w:rPr>
                <w:rFonts w:ascii="Arial" w:hAnsi="Arial" w:cs="Arial"/>
                <w:sz w:val="22"/>
              </w:rPr>
              <w:t xml:space="preserve">obtained the Master of Comparative Jurisprudence from NYU School of Law, </w:t>
            </w:r>
            <w:proofErr w:type="spellStart"/>
            <w:r w:rsidRPr="00D57E13">
              <w:rPr>
                <w:rFonts w:ascii="Arial" w:hAnsi="Arial" w:cs="Arial"/>
                <w:sz w:val="22"/>
              </w:rPr>
              <w:t>Nghia</w:t>
            </w:r>
            <w:proofErr w:type="spellEnd"/>
            <w:r w:rsidRPr="00D57E13">
              <w:rPr>
                <w:rFonts w:ascii="Arial" w:hAnsi="Arial" w:cs="Arial"/>
                <w:sz w:val="22"/>
              </w:rPr>
              <w:t xml:space="preserve"> is a leader of Vietnam’s legal professions. He is currently serving as the Vice President of the Vietnam Bar Federation and the Vice Chairman of the Ho Chi Minh City Bar Association. A former member of the Prime Minister’s Research Committee and former Director of the Foreign Trade &amp; Investment Promotion Center (ITPC) of Ho Chi Minh City, he was elected in May 2011 to Vietnam’s National Assembly for the 2011 – 2016 term. The only practicing lawyer in the National Assembly, he was elected by the deputies of the National Assembly to its Judiciary Committee.</w:t>
            </w:r>
          </w:p>
        </w:tc>
      </w:tr>
      <w:tr w:rsidR="00CD7791" w:rsidRPr="00D57E13" w:rsidTr="00962FF4">
        <w:tc>
          <w:tcPr>
            <w:tcW w:w="9632" w:type="dxa"/>
            <w:gridSpan w:val="6"/>
          </w:tcPr>
          <w:p w:rsidR="00CD7791" w:rsidRPr="00D57E13" w:rsidRDefault="00FC59B9" w:rsidP="008D6A62">
            <w:pPr>
              <w:spacing w:line="276" w:lineRule="auto"/>
              <w:rPr>
                <w:rFonts w:ascii="Arial" w:hAnsi="Arial" w:cs="Arial"/>
                <w:b/>
                <w:sz w:val="22"/>
                <w:u w:val="single"/>
              </w:rPr>
            </w:pPr>
            <w:r w:rsidRPr="00D57E13">
              <w:rPr>
                <w:rFonts w:ascii="Arial" w:hAnsi="Arial" w:cs="Arial"/>
                <w:b/>
                <w:sz w:val="22"/>
                <w:u w:val="single"/>
              </w:rPr>
              <w:lastRenderedPageBreak/>
              <w:t>Notable Deals</w:t>
            </w:r>
          </w:p>
        </w:tc>
      </w:tr>
      <w:tr w:rsidR="00B9177C" w:rsidRPr="00D57E13" w:rsidTr="00962FF4">
        <w:tc>
          <w:tcPr>
            <w:tcW w:w="9632" w:type="dxa"/>
            <w:gridSpan w:val="6"/>
          </w:tcPr>
          <w:p w:rsidR="00FC59B9" w:rsidRPr="00D57E13" w:rsidRDefault="00FC59B9" w:rsidP="008D6A62">
            <w:pPr>
              <w:spacing w:line="276" w:lineRule="auto"/>
              <w:rPr>
                <w:rFonts w:ascii="Arial" w:hAnsi="Arial" w:cs="Arial"/>
                <w:i/>
                <w:sz w:val="22"/>
                <w:u w:val="single"/>
              </w:rPr>
            </w:pPr>
            <w:r w:rsidRPr="00D57E13">
              <w:rPr>
                <w:rFonts w:ascii="Arial" w:hAnsi="Arial" w:cs="Arial"/>
                <w:i/>
                <w:sz w:val="22"/>
                <w:u w:val="single"/>
              </w:rPr>
              <w:t>Dispute resolution/ Litigation</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Representing SATRA, one of Vietnam’s largest trading corporations, in a trade dispute worth several millions USD, with </w:t>
            </w:r>
            <w:proofErr w:type="spellStart"/>
            <w:r w:rsidRPr="00D57E13">
              <w:rPr>
                <w:rFonts w:ascii="Arial" w:hAnsi="Arial" w:cs="Arial"/>
                <w:sz w:val="22"/>
              </w:rPr>
              <w:t>Satra</w:t>
            </w:r>
            <w:proofErr w:type="spellEnd"/>
            <w:r w:rsidRPr="00D57E13">
              <w:rPr>
                <w:rFonts w:ascii="Arial" w:hAnsi="Arial" w:cs="Arial"/>
                <w:sz w:val="22"/>
              </w:rPr>
              <w:t xml:space="preserve"> being victorious in both first and appellate instance.</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Advising a foreign-invested company in a 300 million USD infra-structure BOT project on a dispute with a municipal government whereby the initially approved invested capital cap was accepted to be increased by more than 60 million USD. </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Advising the foreign owner/operator of a 5-star hotel in Ho Chi Minh City, being charged of tax evasion and involved in a complex dispute with the local BCC partner and tax authority, and helping the investigation be dropped and the BCC transformed into a </w:t>
            </w:r>
            <w:proofErr w:type="spellStart"/>
            <w:r w:rsidRPr="00D57E13">
              <w:rPr>
                <w:rFonts w:ascii="Arial" w:hAnsi="Arial" w:cs="Arial"/>
                <w:sz w:val="22"/>
              </w:rPr>
              <w:t>jointventure</w:t>
            </w:r>
            <w:proofErr w:type="spellEnd"/>
            <w:r w:rsidRPr="00D57E13">
              <w:rPr>
                <w:rFonts w:ascii="Arial" w:hAnsi="Arial" w:cs="Arial"/>
                <w:sz w:val="22"/>
              </w:rPr>
              <w:t xml:space="preserve">. </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Representing Pico in the settlement of a dispute with the local JV partner regarding the liquidation of the JV and resulting assets distribution. </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Representing the major shareholder of VCCT, a company operating large cable-car project worth tens of million USD in winning the lawsuit over a shareholders dispute. </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Representing a major foreign fund in Vietnam in an arbitration case involving a </w:t>
            </w:r>
            <w:proofErr w:type="spellStart"/>
            <w:r w:rsidRPr="00D57E13">
              <w:rPr>
                <w:rFonts w:ascii="Arial" w:hAnsi="Arial" w:cs="Arial"/>
                <w:sz w:val="22"/>
              </w:rPr>
              <w:t>clawback</w:t>
            </w:r>
            <w:proofErr w:type="spellEnd"/>
            <w:r w:rsidRPr="00D57E13">
              <w:rPr>
                <w:rFonts w:ascii="Arial" w:hAnsi="Arial" w:cs="Arial"/>
                <w:sz w:val="22"/>
              </w:rPr>
              <w:t xml:space="preserve"> valued tens of million USD from a share-subscription agreement with a local joint</w:t>
            </w:r>
            <w:r w:rsidR="00C032E7">
              <w:rPr>
                <w:rFonts w:ascii="Arial" w:hAnsi="Arial" w:cs="Arial"/>
                <w:sz w:val="22"/>
              </w:rPr>
              <w:t xml:space="preserve"> </w:t>
            </w:r>
            <w:r w:rsidRPr="00D57E13">
              <w:rPr>
                <w:rFonts w:ascii="Arial" w:hAnsi="Arial" w:cs="Arial"/>
                <w:sz w:val="22"/>
              </w:rPr>
              <w:t xml:space="preserve">stock company. </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Representing the subsidiaries of RMIT, ACG, P&amp;G and METRO in Vietnam in settling its labor, trade and land use rights disputes. </w:t>
            </w:r>
          </w:p>
          <w:p w:rsidR="00FF79F3"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Representing Exxon Mobil before the Economic Court of Ho Chi Minh City and the Supreme Court in connection with disputes arising from a long-term gas distribution </w:t>
            </w:r>
            <w:r w:rsidRPr="00D57E13">
              <w:rPr>
                <w:rFonts w:ascii="Arial" w:hAnsi="Arial" w:cs="Arial"/>
                <w:sz w:val="22"/>
              </w:rPr>
              <w:lastRenderedPageBreak/>
              <w:t xml:space="preserve">contract (final judgment of the Supreme Court upholding the favorable lower court judgment). </w:t>
            </w:r>
          </w:p>
          <w:p w:rsidR="003618A2" w:rsidRPr="00D57E13" w:rsidRDefault="00FC59B9" w:rsidP="00FF79F3">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Representing American Coffee before the Economic Court of Ho Chi Minh City in pursuing contractual remedies against a Vietnamese coffee company (probably first Vietnamese court ruling awarding damages to an offshore buyer).</w:t>
            </w:r>
          </w:p>
        </w:tc>
      </w:tr>
      <w:tr w:rsidR="00372C1D" w:rsidRPr="00D57E13" w:rsidTr="00962FF4">
        <w:tc>
          <w:tcPr>
            <w:tcW w:w="9632" w:type="dxa"/>
            <w:gridSpan w:val="6"/>
          </w:tcPr>
          <w:p w:rsidR="00372C1D" w:rsidRPr="00D57E13" w:rsidRDefault="003C3764" w:rsidP="008D6A62">
            <w:pPr>
              <w:spacing w:line="276" w:lineRule="auto"/>
              <w:rPr>
                <w:rFonts w:ascii="Arial" w:hAnsi="Arial" w:cs="Arial"/>
                <w:i/>
                <w:sz w:val="22"/>
                <w:u w:val="single"/>
              </w:rPr>
            </w:pPr>
            <w:r w:rsidRPr="00D57E13">
              <w:rPr>
                <w:rFonts w:ascii="Arial" w:hAnsi="Arial" w:cs="Arial"/>
                <w:i/>
                <w:sz w:val="22"/>
                <w:u w:val="single"/>
              </w:rPr>
              <w:lastRenderedPageBreak/>
              <w:t>M&amp;A</w:t>
            </w:r>
            <w:r w:rsidR="00372C1D" w:rsidRPr="00D57E13">
              <w:rPr>
                <w:rFonts w:ascii="Arial" w:hAnsi="Arial" w:cs="Arial"/>
                <w:i/>
                <w:sz w:val="22"/>
                <w:u w:val="single"/>
              </w:rPr>
              <w:t xml:space="preserve">, </w:t>
            </w:r>
            <w:r w:rsidRPr="00D57E13">
              <w:rPr>
                <w:rFonts w:ascii="Arial" w:hAnsi="Arial" w:cs="Arial"/>
                <w:i/>
                <w:sz w:val="22"/>
                <w:u w:val="single"/>
              </w:rPr>
              <w:t>Project Finance and Foreign Investment</w:t>
            </w:r>
          </w:p>
          <w:p w:rsidR="00F52911" w:rsidRPr="00D57E13" w:rsidRDefault="00F52911" w:rsidP="00F5291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Advising EIB in a multimillion-dollar financing for a multinational corporation in connection with the expansion of its activities in Vietnam. </w:t>
            </w:r>
          </w:p>
          <w:p w:rsidR="00F52911" w:rsidRPr="00D57E13" w:rsidRDefault="00F52911" w:rsidP="00F5291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Advising BIDV in a multimillion-dollar financing for a significant real estate project invested by a foreign investment fund. </w:t>
            </w:r>
          </w:p>
          <w:p w:rsidR="00F52911" w:rsidRPr="00D57E13" w:rsidRDefault="00F52911" w:rsidP="00F5291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Advising one of the largest foreign investment funds in Vietnam in a private equity deal in which the fund was buying a majority stake from a local company in the telecom sector. </w:t>
            </w:r>
          </w:p>
          <w:p w:rsidR="00372C1D" w:rsidRPr="00D57E13" w:rsidRDefault="00F52911" w:rsidP="00F5291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Advising Saigon Advertisement Company in its joint venture with a leading Japanese advertiser</w:t>
            </w:r>
            <w:r w:rsidRPr="00D57E13">
              <w:rPr>
                <w:rFonts w:ascii="Arial" w:hAnsi="Arial" w:cs="Arial"/>
                <w:sz w:val="22"/>
              </w:rPr>
              <w:t>.</w:t>
            </w:r>
          </w:p>
        </w:tc>
      </w:tr>
      <w:tr w:rsidR="00372C1D" w:rsidRPr="00D57E13" w:rsidTr="00962FF4">
        <w:tc>
          <w:tcPr>
            <w:tcW w:w="9632" w:type="dxa"/>
            <w:gridSpan w:val="6"/>
          </w:tcPr>
          <w:p w:rsidR="00372C1D" w:rsidRPr="00D57E13" w:rsidRDefault="00F52911" w:rsidP="008D6A62">
            <w:pPr>
              <w:spacing w:line="276" w:lineRule="auto"/>
              <w:rPr>
                <w:rFonts w:ascii="Arial" w:hAnsi="Arial" w:cs="Arial"/>
                <w:i/>
                <w:sz w:val="22"/>
                <w:u w:val="single"/>
              </w:rPr>
            </w:pPr>
            <w:r w:rsidRPr="00D57E13">
              <w:rPr>
                <w:rFonts w:ascii="Arial" w:hAnsi="Arial" w:cs="Arial"/>
                <w:i/>
                <w:sz w:val="22"/>
                <w:u w:val="single"/>
              </w:rPr>
              <w:t>Arbitration</w:t>
            </w:r>
          </w:p>
          <w:p w:rsidR="008459F1" w:rsidRPr="00D57E13" w:rsidRDefault="00F52911" w:rsidP="00F5291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Acting as panel arbitrator over several cases at VIAC relevant to trade, insurance and construction; </w:t>
            </w:r>
          </w:p>
          <w:p w:rsidR="00372C1D" w:rsidRPr="00D57E13" w:rsidRDefault="00F52911" w:rsidP="00F5291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Having presided over a number of cross-border and complex cases in maritime transactions and FIDIC contracts in English as language of arbitration.</w:t>
            </w:r>
          </w:p>
        </w:tc>
      </w:tr>
      <w:tr w:rsidR="008D6A62" w:rsidRPr="00D57E13" w:rsidTr="00962FF4">
        <w:tc>
          <w:tcPr>
            <w:tcW w:w="9632" w:type="dxa"/>
            <w:gridSpan w:val="6"/>
          </w:tcPr>
          <w:p w:rsidR="008D6A62" w:rsidRPr="00D57E13" w:rsidRDefault="008459F1" w:rsidP="008D6A62">
            <w:pPr>
              <w:spacing w:line="276" w:lineRule="auto"/>
              <w:rPr>
                <w:rFonts w:ascii="Arial" w:hAnsi="Arial" w:cs="Arial"/>
                <w:sz w:val="22"/>
              </w:rPr>
            </w:pPr>
            <w:r w:rsidRPr="00D57E13">
              <w:rPr>
                <w:rFonts w:ascii="Arial" w:hAnsi="Arial" w:cs="Arial"/>
                <w:b/>
                <w:sz w:val="22"/>
                <w:u w:val="single"/>
              </w:rPr>
              <w:t>Awards, Publications and Lecture</w:t>
            </w:r>
          </w:p>
        </w:tc>
      </w:tr>
      <w:tr w:rsidR="00293911" w:rsidRPr="00D57E13" w:rsidTr="00962FF4">
        <w:tc>
          <w:tcPr>
            <w:tcW w:w="9632" w:type="dxa"/>
            <w:gridSpan w:val="6"/>
          </w:tcPr>
          <w:p w:rsidR="00293911" w:rsidRPr="00D57E13" w:rsidRDefault="008459F1" w:rsidP="00F24206">
            <w:pPr>
              <w:ind w:right="27"/>
              <w:rPr>
                <w:rFonts w:ascii="Arial" w:hAnsi="Arial" w:cs="Arial"/>
                <w:i/>
                <w:sz w:val="22"/>
                <w:u w:val="single"/>
              </w:rPr>
            </w:pPr>
            <w:r w:rsidRPr="00D57E13">
              <w:rPr>
                <w:rFonts w:ascii="Arial" w:hAnsi="Arial" w:cs="Arial"/>
                <w:i/>
                <w:sz w:val="22"/>
                <w:u w:val="single"/>
              </w:rPr>
              <w:t>Awards</w:t>
            </w:r>
          </w:p>
          <w:p w:rsidR="008459F1" w:rsidRPr="00D57E13" w:rsidRDefault="008459F1" w:rsidP="008459F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Legal 500 (2009-2010): Recommended. </w:t>
            </w:r>
          </w:p>
          <w:p w:rsidR="008459F1" w:rsidRPr="00D57E13" w:rsidRDefault="008459F1" w:rsidP="008459F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Chambers &amp; Partners (2011): “pivotal to the Vietnam legal community for many years”, and is one of “very well-known and experienced litigators who are sought out for their counsel on some of the most complicated cases.” </w:t>
            </w:r>
          </w:p>
          <w:p w:rsidR="008459F1" w:rsidRPr="00D57E13" w:rsidRDefault="008459F1" w:rsidP="008459F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Chambers &amp; Partners (2012): “a well-established figure in the Vietnamese legal community and is sought after for his advice in complex cases”. </w:t>
            </w:r>
          </w:p>
          <w:p w:rsidR="008459F1" w:rsidRPr="00D57E13" w:rsidRDefault="008459F1" w:rsidP="008459F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Asia Law Profiles (2012): One of the “most successful and respected litigators in Vietnam” and “one of the most experienced litigators in Vietnam”. </w:t>
            </w:r>
          </w:p>
          <w:p w:rsidR="008459F1" w:rsidRPr="00D57E13" w:rsidRDefault="008459F1" w:rsidP="008459F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Chambers &amp; Partners (2013): “Enormously wise about the realities of the court systems”, whist putting a “huge amount of thought into strategy”. </w:t>
            </w:r>
          </w:p>
          <w:p w:rsidR="00054291" w:rsidRPr="00D57E13" w:rsidRDefault="008459F1" w:rsidP="008459F1">
            <w:pPr>
              <w:pStyle w:val="ListParagraph"/>
              <w:ind w:left="710" w:right="27"/>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Ranking by Chambers &amp; Partner: Band 1 in Dispute Resolution for 2011, 2012, 2013, 2014</w:t>
            </w:r>
            <w:r w:rsidRPr="00D57E13">
              <w:rPr>
                <w:rFonts w:ascii="Arial" w:hAnsi="Arial" w:cs="Arial"/>
                <w:sz w:val="22"/>
              </w:rPr>
              <w:t>.</w:t>
            </w:r>
          </w:p>
        </w:tc>
      </w:tr>
      <w:tr w:rsidR="00054291" w:rsidRPr="00D57E13" w:rsidTr="00962FF4">
        <w:tc>
          <w:tcPr>
            <w:tcW w:w="9632" w:type="dxa"/>
            <w:gridSpan w:val="6"/>
          </w:tcPr>
          <w:p w:rsidR="00054291" w:rsidRPr="00D57E13" w:rsidRDefault="008459F1" w:rsidP="00F24206">
            <w:pPr>
              <w:rPr>
                <w:rFonts w:ascii="Arial" w:hAnsi="Arial" w:cs="Arial"/>
                <w:i/>
                <w:sz w:val="22"/>
                <w:u w:val="single"/>
              </w:rPr>
            </w:pPr>
            <w:r w:rsidRPr="00D57E13">
              <w:rPr>
                <w:rFonts w:ascii="Arial" w:hAnsi="Arial" w:cs="Arial"/>
                <w:i/>
                <w:sz w:val="22"/>
                <w:u w:val="single"/>
              </w:rPr>
              <w:t>Publications</w:t>
            </w:r>
          </w:p>
          <w:p w:rsidR="005663B7" w:rsidRPr="00D57E13" w:rsidRDefault="005663B7" w:rsidP="005663B7">
            <w:pPr>
              <w:pStyle w:val="ListParagraph"/>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Economic Arbitration in Vietnam, Ho Chi Minh City Publishing House (1988). </w:t>
            </w:r>
          </w:p>
          <w:p w:rsidR="005663B7" w:rsidRPr="00D57E13" w:rsidRDefault="005663B7" w:rsidP="005663B7">
            <w:pPr>
              <w:pStyle w:val="ListParagraph"/>
              <w:rPr>
                <w:rFonts w:ascii="Arial" w:hAnsi="Arial" w:cs="Arial"/>
                <w:sz w:val="22"/>
              </w:rPr>
            </w:pPr>
            <w:r w:rsidRPr="00D57E13">
              <w:rPr>
                <w:rFonts w:ascii="Arial" w:hAnsi="Arial" w:cs="Arial"/>
                <w:sz w:val="22"/>
              </w:rPr>
              <w:lastRenderedPageBreak/>
              <w:sym w:font="Symbol" w:char="F0B7"/>
            </w:r>
            <w:r w:rsidRPr="00D57E13">
              <w:rPr>
                <w:rFonts w:ascii="Arial" w:hAnsi="Arial" w:cs="Arial"/>
                <w:sz w:val="22"/>
              </w:rPr>
              <w:t xml:space="preserve"> Rule of Law in Vietnam - Theory and Practice, The Maureen and Mike Mansfield Foundation (2001). </w:t>
            </w:r>
          </w:p>
          <w:p w:rsidR="00054291" w:rsidRPr="00D57E13" w:rsidRDefault="005663B7" w:rsidP="005663B7">
            <w:pPr>
              <w:pStyle w:val="ListParagraph"/>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Author of a large number of articles on Vietnamese legal issues including US-Vietnam Bilateral Trade Agreement issues and Vietnam's accession to the WTO (1996 – now).</w:t>
            </w:r>
          </w:p>
        </w:tc>
      </w:tr>
      <w:tr w:rsidR="000C12F8" w:rsidRPr="00D57E13" w:rsidTr="00962FF4">
        <w:tc>
          <w:tcPr>
            <w:tcW w:w="9632" w:type="dxa"/>
            <w:gridSpan w:val="6"/>
          </w:tcPr>
          <w:p w:rsidR="000C12F8" w:rsidRPr="00D57E13" w:rsidRDefault="005663B7" w:rsidP="00F24206">
            <w:pPr>
              <w:rPr>
                <w:rFonts w:ascii="Arial" w:hAnsi="Arial" w:cs="Arial"/>
                <w:i/>
                <w:sz w:val="22"/>
                <w:u w:val="single"/>
              </w:rPr>
            </w:pPr>
            <w:r w:rsidRPr="00D57E13">
              <w:rPr>
                <w:rFonts w:ascii="Arial" w:hAnsi="Arial" w:cs="Arial"/>
                <w:i/>
                <w:sz w:val="22"/>
                <w:u w:val="single"/>
              </w:rPr>
              <w:lastRenderedPageBreak/>
              <w:t>Lecture</w:t>
            </w:r>
          </w:p>
          <w:p w:rsidR="000C12F8" w:rsidRPr="00D57E13" w:rsidRDefault="005663B7" w:rsidP="005663B7">
            <w:pPr>
              <w:pStyle w:val="ListParagraph"/>
              <w:rPr>
                <w:rFonts w:ascii="Arial" w:hAnsi="Arial" w:cs="Arial"/>
                <w:sz w:val="22"/>
              </w:rPr>
            </w:pPr>
            <w:r w:rsidRPr="00D57E13">
              <w:rPr>
                <w:rFonts w:ascii="Arial" w:hAnsi="Arial" w:cs="Arial"/>
                <w:sz w:val="22"/>
              </w:rPr>
              <w:sym w:font="Symbol" w:char="F0B7"/>
            </w:r>
            <w:r w:rsidRPr="00D57E13">
              <w:rPr>
                <w:rFonts w:ascii="Arial" w:hAnsi="Arial" w:cs="Arial"/>
                <w:sz w:val="22"/>
              </w:rPr>
              <w:t xml:space="preserve"> Lectured on law in undergraduate and graduate programs at University of Law and University of Economics of Ho Chi Minh City</w:t>
            </w:r>
          </w:p>
        </w:tc>
      </w:tr>
    </w:tbl>
    <w:p w:rsidR="008D6A62" w:rsidRPr="00D57E13" w:rsidRDefault="008D6A62">
      <w:pPr>
        <w:rPr>
          <w:rFonts w:ascii="Arial" w:hAnsi="Arial" w:cs="Arial"/>
          <w:sz w:val="22"/>
        </w:rPr>
      </w:pPr>
      <w:bookmarkStart w:id="0" w:name="_GoBack"/>
      <w:bookmarkEnd w:id="0"/>
    </w:p>
    <w:sectPr w:rsidR="008D6A62" w:rsidRPr="00D57E13" w:rsidSect="000E2143">
      <w:headerReference w:type="default" r:id="rId17"/>
      <w:pgSz w:w="11907" w:h="16839" w:code="9"/>
      <w:pgMar w:top="630" w:right="1134" w:bottom="1080" w:left="1985"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E1" w:rsidRDefault="00CC43E1" w:rsidP="008D6A62">
      <w:pPr>
        <w:spacing w:before="0" w:after="0" w:line="240" w:lineRule="auto"/>
      </w:pPr>
      <w:r>
        <w:separator/>
      </w:r>
    </w:p>
  </w:endnote>
  <w:endnote w:type="continuationSeparator" w:id="0">
    <w:p w:rsidR="00CC43E1" w:rsidRDefault="00CC43E1" w:rsidP="008D6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E1" w:rsidRDefault="00CC43E1" w:rsidP="008D6A62">
      <w:pPr>
        <w:spacing w:before="0" w:after="0" w:line="240" w:lineRule="auto"/>
      </w:pPr>
      <w:r>
        <w:separator/>
      </w:r>
    </w:p>
  </w:footnote>
  <w:footnote w:type="continuationSeparator" w:id="0">
    <w:p w:rsidR="00CC43E1" w:rsidRDefault="00CC43E1" w:rsidP="008D6A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62" w:rsidRDefault="008D6A62" w:rsidP="008D6A62">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4A9"/>
    <w:multiLevelType w:val="hybridMultilevel"/>
    <w:tmpl w:val="B12C88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77650"/>
    <w:multiLevelType w:val="hybridMultilevel"/>
    <w:tmpl w:val="506A4D16"/>
    <w:lvl w:ilvl="0" w:tplc="CAB40F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15EFA"/>
    <w:multiLevelType w:val="hybridMultilevel"/>
    <w:tmpl w:val="B34E3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B710B"/>
    <w:multiLevelType w:val="hybridMultilevel"/>
    <w:tmpl w:val="E7AC5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E9"/>
    <w:rsid w:val="0000115A"/>
    <w:rsid w:val="00004C1B"/>
    <w:rsid w:val="0000599A"/>
    <w:rsid w:val="00014669"/>
    <w:rsid w:val="000202CF"/>
    <w:rsid w:val="00021A24"/>
    <w:rsid w:val="000269DB"/>
    <w:rsid w:val="00030BEA"/>
    <w:rsid w:val="00035386"/>
    <w:rsid w:val="0003742A"/>
    <w:rsid w:val="00037913"/>
    <w:rsid w:val="0004346A"/>
    <w:rsid w:val="00050E6C"/>
    <w:rsid w:val="00054291"/>
    <w:rsid w:val="00056171"/>
    <w:rsid w:val="00056BC2"/>
    <w:rsid w:val="0005762D"/>
    <w:rsid w:val="0006723D"/>
    <w:rsid w:val="000732DF"/>
    <w:rsid w:val="00096897"/>
    <w:rsid w:val="00096DEC"/>
    <w:rsid w:val="000A62AE"/>
    <w:rsid w:val="000B05F1"/>
    <w:rsid w:val="000B1B24"/>
    <w:rsid w:val="000B4FB2"/>
    <w:rsid w:val="000B5935"/>
    <w:rsid w:val="000B62AD"/>
    <w:rsid w:val="000B6899"/>
    <w:rsid w:val="000C0E9B"/>
    <w:rsid w:val="000C12F8"/>
    <w:rsid w:val="000C1FDA"/>
    <w:rsid w:val="000C2DE6"/>
    <w:rsid w:val="000C63A2"/>
    <w:rsid w:val="000D6ADD"/>
    <w:rsid w:val="000D762A"/>
    <w:rsid w:val="000E2143"/>
    <w:rsid w:val="000E677E"/>
    <w:rsid w:val="000F135E"/>
    <w:rsid w:val="000F176F"/>
    <w:rsid w:val="000F2911"/>
    <w:rsid w:val="000F5039"/>
    <w:rsid w:val="001177E3"/>
    <w:rsid w:val="00126118"/>
    <w:rsid w:val="00127226"/>
    <w:rsid w:val="001331EE"/>
    <w:rsid w:val="00147A0A"/>
    <w:rsid w:val="001507E7"/>
    <w:rsid w:val="00151B79"/>
    <w:rsid w:val="001566E8"/>
    <w:rsid w:val="00160C38"/>
    <w:rsid w:val="00161C59"/>
    <w:rsid w:val="0017013D"/>
    <w:rsid w:val="001710A0"/>
    <w:rsid w:val="00174667"/>
    <w:rsid w:val="001762D0"/>
    <w:rsid w:val="00184AE0"/>
    <w:rsid w:val="00184FC1"/>
    <w:rsid w:val="00187F35"/>
    <w:rsid w:val="0019388E"/>
    <w:rsid w:val="0019559C"/>
    <w:rsid w:val="001A601A"/>
    <w:rsid w:val="001A688F"/>
    <w:rsid w:val="001B4193"/>
    <w:rsid w:val="001B73C5"/>
    <w:rsid w:val="001C2DEE"/>
    <w:rsid w:val="001D06F9"/>
    <w:rsid w:val="001D2651"/>
    <w:rsid w:val="001D4043"/>
    <w:rsid w:val="001D439C"/>
    <w:rsid w:val="001D4DDF"/>
    <w:rsid w:val="001E32DB"/>
    <w:rsid w:val="001E588E"/>
    <w:rsid w:val="001F04AA"/>
    <w:rsid w:val="001F0C99"/>
    <w:rsid w:val="00206094"/>
    <w:rsid w:val="00213F68"/>
    <w:rsid w:val="00220A6A"/>
    <w:rsid w:val="00223B38"/>
    <w:rsid w:val="00227E36"/>
    <w:rsid w:val="00230F48"/>
    <w:rsid w:val="002510AB"/>
    <w:rsid w:val="00256E87"/>
    <w:rsid w:val="002862CC"/>
    <w:rsid w:val="00286D65"/>
    <w:rsid w:val="0029323A"/>
    <w:rsid w:val="00293911"/>
    <w:rsid w:val="002944D2"/>
    <w:rsid w:val="0029455E"/>
    <w:rsid w:val="00297FEC"/>
    <w:rsid w:val="002A0B89"/>
    <w:rsid w:val="002A16A7"/>
    <w:rsid w:val="002A7BB9"/>
    <w:rsid w:val="002B2CF1"/>
    <w:rsid w:val="002B4E74"/>
    <w:rsid w:val="002C37CD"/>
    <w:rsid w:val="002E14FF"/>
    <w:rsid w:val="002E72F9"/>
    <w:rsid w:val="002F0965"/>
    <w:rsid w:val="002F2E7F"/>
    <w:rsid w:val="002F4AEE"/>
    <w:rsid w:val="002F78A4"/>
    <w:rsid w:val="003067FD"/>
    <w:rsid w:val="00306E40"/>
    <w:rsid w:val="0031065C"/>
    <w:rsid w:val="00324D25"/>
    <w:rsid w:val="00327323"/>
    <w:rsid w:val="00332918"/>
    <w:rsid w:val="003432EF"/>
    <w:rsid w:val="00353943"/>
    <w:rsid w:val="00356A01"/>
    <w:rsid w:val="00356C2F"/>
    <w:rsid w:val="003618A2"/>
    <w:rsid w:val="00362F12"/>
    <w:rsid w:val="00362F85"/>
    <w:rsid w:val="00367418"/>
    <w:rsid w:val="00371182"/>
    <w:rsid w:val="0037141D"/>
    <w:rsid w:val="00372C1D"/>
    <w:rsid w:val="003839F5"/>
    <w:rsid w:val="0038560E"/>
    <w:rsid w:val="00385824"/>
    <w:rsid w:val="003872CD"/>
    <w:rsid w:val="003919BD"/>
    <w:rsid w:val="003954C5"/>
    <w:rsid w:val="003A6516"/>
    <w:rsid w:val="003A7143"/>
    <w:rsid w:val="003B1545"/>
    <w:rsid w:val="003B6471"/>
    <w:rsid w:val="003C3764"/>
    <w:rsid w:val="003C52F5"/>
    <w:rsid w:val="003C6368"/>
    <w:rsid w:val="003D40B0"/>
    <w:rsid w:val="003D66CC"/>
    <w:rsid w:val="003D74E7"/>
    <w:rsid w:val="003F2F11"/>
    <w:rsid w:val="00403DEB"/>
    <w:rsid w:val="00405796"/>
    <w:rsid w:val="0041543F"/>
    <w:rsid w:val="00416341"/>
    <w:rsid w:val="00416D02"/>
    <w:rsid w:val="004249D2"/>
    <w:rsid w:val="00424A75"/>
    <w:rsid w:val="0042663F"/>
    <w:rsid w:val="00430325"/>
    <w:rsid w:val="004429F1"/>
    <w:rsid w:val="00442A1C"/>
    <w:rsid w:val="00442AC4"/>
    <w:rsid w:val="0044337E"/>
    <w:rsid w:val="0045040A"/>
    <w:rsid w:val="004559C6"/>
    <w:rsid w:val="004729D6"/>
    <w:rsid w:val="004802FB"/>
    <w:rsid w:val="00481198"/>
    <w:rsid w:val="00485B59"/>
    <w:rsid w:val="00485D0A"/>
    <w:rsid w:val="00487A05"/>
    <w:rsid w:val="00497352"/>
    <w:rsid w:val="004A68FC"/>
    <w:rsid w:val="004A7585"/>
    <w:rsid w:val="004B7505"/>
    <w:rsid w:val="004B7934"/>
    <w:rsid w:val="004C3989"/>
    <w:rsid w:val="004C71D1"/>
    <w:rsid w:val="004E6BF1"/>
    <w:rsid w:val="004E6F38"/>
    <w:rsid w:val="004F28D6"/>
    <w:rsid w:val="004F61B9"/>
    <w:rsid w:val="00500804"/>
    <w:rsid w:val="0050356F"/>
    <w:rsid w:val="005046C3"/>
    <w:rsid w:val="0050731A"/>
    <w:rsid w:val="0051350D"/>
    <w:rsid w:val="005344E9"/>
    <w:rsid w:val="0053515A"/>
    <w:rsid w:val="00541B85"/>
    <w:rsid w:val="0055517A"/>
    <w:rsid w:val="00555192"/>
    <w:rsid w:val="00555536"/>
    <w:rsid w:val="0056064D"/>
    <w:rsid w:val="005649FD"/>
    <w:rsid w:val="00564EB9"/>
    <w:rsid w:val="005663B7"/>
    <w:rsid w:val="005911EC"/>
    <w:rsid w:val="00595D1D"/>
    <w:rsid w:val="005A5E31"/>
    <w:rsid w:val="005A630E"/>
    <w:rsid w:val="005B4CC9"/>
    <w:rsid w:val="005C3899"/>
    <w:rsid w:val="005C7C40"/>
    <w:rsid w:val="005D0A8B"/>
    <w:rsid w:val="005D2600"/>
    <w:rsid w:val="005E2EF7"/>
    <w:rsid w:val="005F18A1"/>
    <w:rsid w:val="006053D5"/>
    <w:rsid w:val="00605ED7"/>
    <w:rsid w:val="0061228A"/>
    <w:rsid w:val="00614776"/>
    <w:rsid w:val="00614890"/>
    <w:rsid w:val="006231B6"/>
    <w:rsid w:val="00623450"/>
    <w:rsid w:val="006317C7"/>
    <w:rsid w:val="00641481"/>
    <w:rsid w:val="00644506"/>
    <w:rsid w:val="0064524A"/>
    <w:rsid w:val="00645B08"/>
    <w:rsid w:val="00656DB0"/>
    <w:rsid w:val="0065736F"/>
    <w:rsid w:val="00660BE2"/>
    <w:rsid w:val="00664D15"/>
    <w:rsid w:val="0067215C"/>
    <w:rsid w:val="00687BDD"/>
    <w:rsid w:val="006970AB"/>
    <w:rsid w:val="006A1EBD"/>
    <w:rsid w:val="006A3606"/>
    <w:rsid w:val="006A3BBD"/>
    <w:rsid w:val="006B1678"/>
    <w:rsid w:val="006B2A40"/>
    <w:rsid w:val="006B742F"/>
    <w:rsid w:val="006D324E"/>
    <w:rsid w:val="006D4F7C"/>
    <w:rsid w:val="006F1260"/>
    <w:rsid w:val="006F1F92"/>
    <w:rsid w:val="006F2DA5"/>
    <w:rsid w:val="006F4B1C"/>
    <w:rsid w:val="006F7CF8"/>
    <w:rsid w:val="00700A3A"/>
    <w:rsid w:val="00702D0E"/>
    <w:rsid w:val="00703C6B"/>
    <w:rsid w:val="00716B04"/>
    <w:rsid w:val="00726003"/>
    <w:rsid w:val="00751298"/>
    <w:rsid w:val="00751333"/>
    <w:rsid w:val="0075465E"/>
    <w:rsid w:val="00757BA2"/>
    <w:rsid w:val="00763E99"/>
    <w:rsid w:val="007651AC"/>
    <w:rsid w:val="00776D0F"/>
    <w:rsid w:val="00781F71"/>
    <w:rsid w:val="007842C5"/>
    <w:rsid w:val="007A43F6"/>
    <w:rsid w:val="007A74E9"/>
    <w:rsid w:val="007B08BE"/>
    <w:rsid w:val="007B36D2"/>
    <w:rsid w:val="007B4EB9"/>
    <w:rsid w:val="007C13E0"/>
    <w:rsid w:val="007D31C7"/>
    <w:rsid w:val="007D5970"/>
    <w:rsid w:val="007E4BB5"/>
    <w:rsid w:val="007E511D"/>
    <w:rsid w:val="007E576E"/>
    <w:rsid w:val="007E60DB"/>
    <w:rsid w:val="007F04B0"/>
    <w:rsid w:val="007F26FF"/>
    <w:rsid w:val="0080451D"/>
    <w:rsid w:val="008115B7"/>
    <w:rsid w:val="00811837"/>
    <w:rsid w:val="008125C5"/>
    <w:rsid w:val="00817A60"/>
    <w:rsid w:val="00817CFB"/>
    <w:rsid w:val="008459F1"/>
    <w:rsid w:val="00845D0B"/>
    <w:rsid w:val="00850DB0"/>
    <w:rsid w:val="00870309"/>
    <w:rsid w:val="00876F27"/>
    <w:rsid w:val="00877AB2"/>
    <w:rsid w:val="00877DE8"/>
    <w:rsid w:val="008805E3"/>
    <w:rsid w:val="008848AE"/>
    <w:rsid w:val="008853E3"/>
    <w:rsid w:val="008900E5"/>
    <w:rsid w:val="00895444"/>
    <w:rsid w:val="008977CA"/>
    <w:rsid w:val="008A00D3"/>
    <w:rsid w:val="008B1FE1"/>
    <w:rsid w:val="008B2015"/>
    <w:rsid w:val="008C3CBC"/>
    <w:rsid w:val="008C7DDB"/>
    <w:rsid w:val="008D45D9"/>
    <w:rsid w:val="008D6A62"/>
    <w:rsid w:val="008E292F"/>
    <w:rsid w:val="008E5706"/>
    <w:rsid w:val="008F0C25"/>
    <w:rsid w:val="00907F32"/>
    <w:rsid w:val="0091276A"/>
    <w:rsid w:val="009145D2"/>
    <w:rsid w:val="00917DB6"/>
    <w:rsid w:val="00920F6F"/>
    <w:rsid w:val="0092326A"/>
    <w:rsid w:val="00923D3C"/>
    <w:rsid w:val="009278BC"/>
    <w:rsid w:val="00931732"/>
    <w:rsid w:val="00931CB6"/>
    <w:rsid w:val="00932C98"/>
    <w:rsid w:val="009403D3"/>
    <w:rsid w:val="009431CD"/>
    <w:rsid w:val="009456FD"/>
    <w:rsid w:val="0095145A"/>
    <w:rsid w:val="009606D9"/>
    <w:rsid w:val="009617BD"/>
    <w:rsid w:val="00962FF4"/>
    <w:rsid w:val="00964E8D"/>
    <w:rsid w:val="00976309"/>
    <w:rsid w:val="00981BE9"/>
    <w:rsid w:val="00984B0C"/>
    <w:rsid w:val="009900F6"/>
    <w:rsid w:val="00990727"/>
    <w:rsid w:val="009A140E"/>
    <w:rsid w:val="009A1F87"/>
    <w:rsid w:val="009A4C7F"/>
    <w:rsid w:val="009A7418"/>
    <w:rsid w:val="009B122B"/>
    <w:rsid w:val="009B124D"/>
    <w:rsid w:val="009D3B96"/>
    <w:rsid w:val="009D3DAC"/>
    <w:rsid w:val="009D59E9"/>
    <w:rsid w:val="009E1355"/>
    <w:rsid w:val="009E5605"/>
    <w:rsid w:val="009F12EC"/>
    <w:rsid w:val="009F362B"/>
    <w:rsid w:val="00A00CBB"/>
    <w:rsid w:val="00A05C9A"/>
    <w:rsid w:val="00A11A2A"/>
    <w:rsid w:val="00A1308A"/>
    <w:rsid w:val="00A134EF"/>
    <w:rsid w:val="00A17E37"/>
    <w:rsid w:val="00A252E8"/>
    <w:rsid w:val="00A43B30"/>
    <w:rsid w:val="00A46391"/>
    <w:rsid w:val="00A479B9"/>
    <w:rsid w:val="00A52979"/>
    <w:rsid w:val="00A529B8"/>
    <w:rsid w:val="00A54859"/>
    <w:rsid w:val="00A55AB1"/>
    <w:rsid w:val="00A6332A"/>
    <w:rsid w:val="00A7451C"/>
    <w:rsid w:val="00A92FF9"/>
    <w:rsid w:val="00A930E6"/>
    <w:rsid w:val="00AA1B0A"/>
    <w:rsid w:val="00AA476E"/>
    <w:rsid w:val="00AB1B8F"/>
    <w:rsid w:val="00AB2DE6"/>
    <w:rsid w:val="00AB6D46"/>
    <w:rsid w:val="00AC3505"/>
    <w:rsid w:val="00AC4159"/>
    <w:rsid w:val="00AD6DDD"/>
    <w:rsid w:val="00AD7EFF"/>
    <w:rsid w:val="00AD7FB2"/>
    <w:rsid w:val="00AE0CD5"/>
    <w:rsid w:val="00AE10B7"/>
    <w:rsid w:val="00AE3442"/>
    <w:rsid w:val="00AE42E7"/>
    <w:rsid w:val="00AE5D5D"/>
    <w:rsid w:val="00AE6943"/>
    <w:rsid w:val="00AF0F0A"/>
    <w:rsid w:val="00AF1B02"/>
    <w:rsid w:val="00AF661E"/>
    <w:rsid w:val="00B00787"/>
    <w:rsid w:val="00B103CF"/>
    <w:rsid w:val="00B113AF"/>
    <w:rsid w:val="00B23479"/>
    <w:rsid w:val="00B25B3D"/>
    <w:rsid w:val="00B3663B"/>
    <w:rsid w:val="00B40964"/>
    <w:rsid w:val="00B45CF2"/>
    <w:rsid w:val="00B5517B"/>
    <w:rsid w:val="00B55369"/>
    <w:rsid w:val="00B6244B"/>
    <w:rsid w:val="00B62A2B"/>
    <w:rsid w:val="00B66CC8"/>
    <w:rsid w:val="00B67428"/>
    <w:rsid w:val="00B67E16"/>
    <w:rsid w:val="00B8219D"/>
    <w:rsid w:val="00B82E12"/>
    <w:rsid w:val="00B87AAB"/>
    <w:rsid w:val="00B9177C"/>
    <w:rsid w:val="00B9532D"/>
    <w:rsid w:val="00BA2715"/>
    <w:rsid w:val="00BB3F1F"/>
    <w:rsid w:val="00BC0F76"/>
    <w:rsid w:val="00BC2CC2"/>
    <w:rsid w:val="00BD351B"/>
    <w:rsid w:val="00BE142F"/>
    <w:rsid w:val="00BE4C0F"/>
    <w:rsid w:val="00BE5D22"/>
    <w:rsid w:val="00BE6D16"/>
    <w:rsid w:val="00BF55C9"/>
    <w:rsid w:val="00C032E7"/>
    <w:rsid w:val="00C05ABB"/>
    <w:rsid w:val="00C10DA8"/>
    <w:rsid w:val="00C11D74"/>
    <w:rsid w:val="00C23733"/>
    <w:rsid w:val="00C316C0"/>
    <w:rsid w:val="00C41A55"/>
    <w:rsid w:val="00C42815"/>
    <w:rsid w:val="00C44169"/>
    <w:rsid w:val="00C447E2"/>
    <w:rsid w:val="00C4507A"/>
    <w:rsid w:val="00C5003C"/>
    <w:rsid w:val="00C62357"/>
    <w:rsid w:val="00C66524"/>
    <w:rsid w:val="00C67CCD"/>
    <w:rsid w:val="00C72B56"/>
    <w:rsid w:val="00C74D78"/>
    <w:rsid w:val="00C75374"/>
    <w:rsid w:val="00C844EA"/>
    <w:rsid w:val="00C84904"/>
    <w:rsid w:val="00C8682C"/>
    <w:rsid w:val="00CA4861"/>
    <w:rsid w:val="00CC09B1"/>
    <w:rsid w:val="00CC3643"/>
    <w:rsid w:val="00CC43E1"/>
    <w:rsid w:val="00CC5382"/>
    <w:rsid w:val="00CD53A1"/>
    <w:rsid w:val="00CD7791"/>
    <w:rsid w:val="00CE056C"/>
    <w:rsid w:val="00CF2DCE"/>
    <w:rsid w:val="00D03508"/>
    <w:rsid w:val="00D03E16"/>
    <w:rsid w:val="00D0447E"/>
    <w:rsid w:val="00D074FB"/>
    <w:rsid w:val="00D27B54"/>
    <w:rsid w:val="00D42524"/>
    <w:rsid w:val="00D45D55"/>
    <w:rsid w:val="00D524D5"/>
    <w:rsid w:val="00D528C5"/>
    <w:rsid w:val="00D574DD"/>
    <w:rsid w:val="00D57791"/>
    <w:rsid w:val="00D57E13"/>
    <w:rsid w:val="00D61B15"/>
    <w:rsid w:val="00D62AAE"/>
    <w:rsid w:val="00D62ECA"/>
    <w:rsid w:val="00D65DCE"/>
    <w:rsid w:val="00D66347"/>
    <w:rsid w:val="00D73A6F"/>
    <w:rsid w:val="00D82864"/>
    <w:rsid w:val="00D90DD8"/>
    <w:rsid w:val="00D95D09"/>
    <w:rsid w:val="00D96E23"/>
    <w:rsid w:val="00D970E7"/>
    <w:rsid w:val="00DA1C30"/>
    <w:rsid w:val="00DA69E6"/>
    <w:rsid w:val="00DB2FF5"/>
    <w:rsid w:val="00DB3892"/>
    <w:rsid w:val="00DB539F"/>
    <w:rsid w:val="00DC2BAF"/>
    <w:rsid w:val="00DC5946"/>
    <w:rsid w:val="00DD01F1"/>
    <w:rsid w:val="00DD0259"/>
    <w:rsid w:val="00DD2D46"/>
    <w:rsid w:val="00DD36CC"/>
    <w:rsid w:val="00DE03A6"/>
    <w:rsid w:val="00DE2B26"/>
    <w:rsid w:val="00DE304C"/>
    <w:rsid w:val="00DE63DD"/>
    <w:rsid w:val="00DF05EC"/>
    <w:rsid w:val="00DF12E1"/>
    <w:rsid w:val="00E01C16"/>
    <w:rsid w:val="00E01C68"/>
    <w:rsid w:val="00E06AC3"/>
    <w:rsid w:val="00E1209C"/>
    <w:rsid w:val="00E14F4D"/>
    <w:rsid w:val="00E1782E"/>
    <w:rsid w:val="00E21641"/>
    <w:rsid w:val="00E22963"/>
    <w:rsid w:val="00E255CB"/>
    <w:rsid w:val="00E33E4D"/>
    <w:rsid w:val="00E34098"/>
    <w:rsid w:val="00E345BC"/>
    <w:rsid w:val="00E45789"/>
    <w:rsid w:val="00E8666D"/>
    <w:rsid w:val="00E86B73"/>
    <w:rsid w:val="00E91BA0"/>
    <w:rsid w:val="00E9264E"/>
    <w:rsid w:val="00E95461"/>
    <w:rsid w:val="00EA013D"/>
    <w:rsid w:val="00EA198F"/>
    <w:rsid w:val="00EA315E"/>
    <w:rsid w:val="00EA5A9F"/>
    <w:rsid w:val="00EA5F1F"/>
    <w:rsid w:val="00EA6973"/>
    <w:rsid w:val="00EA770C"/>
    <w:rsid w:val="00EB3284"/>
    <w:rsid w:val="00EB3511"/>
    <w:rsid w:val="00EB515A"/>
    <w:rsid w:val="00EB649A"/>
    <w:rsid w:val="00EC54A0"/>
    <w:rsid w:val="00EC7DB9"/>
    <w:rsid w:val="00ED61F7"/>
    <w:rsid w:val="00EE40FD"/>
    <w:rsid w:val="00EE7F2A"/>
    <w:rsid w:val="00EF1409"/>
    <w:rsid w:val="00EF16FB"/>
    <w:rsid w:val="00EF1E34"/>
    <w:rsid w:val="00EF2D3D"/>
    <w:rsid w:val="00EF39D7"/>
    <w:rsid w:val="00F05E78"/>
    <w:rsid w:val="00F07E82"/>
    <w:rsid w:val="00F1134E"/>
    <w:rsid w:val="00F14699"/>
    <w:rsid w:val="00F168C6"/>
    <w:rsid w:val="00F16F7B"/>
    <w:rsid w:val="00F1764C"/>
    <w:rsid w:val="00F17AA3"/>
    <w:rsid w:val="00F24206"/>
    <w:rsid w:val="00F25EE9"/>
    <w:rsid w:val="00F2779C"/>
    <w:rsid w:val="00F30B23"/>
    <w:rsid w:val="00F33375"/>
    <w:rsid w:val="00F33A8A"/>
    <w:rsid w:val="00F405FE"/>
    <w:rsid w:val="00F511B3"/>
    <w:rsid w:val="00F52229"/>
    <w:rsid w:val="00F52911"/>
    <w:rsid w:val="00F54135"/>
    <w:rsid w:val="00F555CC"/>
    <w:rsid w:val="00F56D1F"/>
    <w:rsid w:val="00F61F9D"/>
    <w:rsid w:val="00F625E5"/>
    <w:rsid w:val="00F64F8A"/>
    <w:rsid w:val="00F661A7"/>
    <w:rsid w:val="00F91012"/>
    <w:rsid w:val="00F93FAA"/>
    <w:rsid w:val="00FA3519"/>
    <w:rsid w:val="00FA44AB"/>
    <w:rsid w:val="00FA67DB"/>
    <w:rsid w:val="00FC00C3"/>
    <w:rsid w:val="00FC1CE0"/>
    <w:rsid w:val="00FC59B9"/>
    <w:rsid w:val="00FC6F14"/>
    <w:rsid w:val="00FD1774"/>
    <w:rsid w:val="00FD38CC"/>
    <w:rsid w:val="00FE3F2D"/>
    <w:rsid w:val="00FE7DFD"/>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2D20B-6C8A-4FA9-8DC0-09B6FACF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3B"/>
    <w:pPr>
      <w:spacing w:before="120" w:after="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D02"/>
    <w:rPr>
      <w:color w:val="0563C1" w:themeColor="hyperlink"/>
      <w:u w:val="single"/>
    </w:rPr>
  </w:style>
  <w:style w:type="paragraph" w:styleId="Header">
    <w:name w:val="header"/>
    <w:basedOn w:val="Normal"/>
    <w:link w:val="HeaderChar"/>
    <w:uiPriority w:val="99"/>
    <w:unhideWhenUsed/>
    <w:rsid w:val="008D6A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6A62"/>
    <w:rPr>
      <w:rFonts w:ascii="Times New Roman" w:hAnsi="Times New Roman"/>
      <w:sz w:val="24"/>
    </w:rPr>
  </w:style>
  <w:style w:type="paragraph" w:styleId="Footer">
    <w:name w:val="footer"/>
    <w:basedOn w:val="Normal"/>
    <w:link w:val="FooterChar"/>
    <w:uiPriority w:val="99"/>
    <w:unhideWhenUsed/>
    <w:rsid w:val="008D6A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6A62"/>
    <w:rPr>
      <w:rFonts w:ascii="Times New Roman" w:hAnsi="Times New Roman"/>
      <w:sz w:val="24"/>
    </w:rPr>
  </w:style>
  <w:style w:type="paragraph" w:styleId="ListParagraph">
    <w:name w:val="List Paragraph"/>
    <w:basedOn w:val="Normal"/>
    <w:uiPriority w:val="34"/>
    <w:qFormat/>
    <w:rsid w:val="00F2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nghia.truong@ykvn-law.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viao</dc:creator>
  <cp:keywords/>
  <dc:description/>
  <cp:lastModifiedBy>viao</cp:lastModifiedBy>
  <cp:revision>7</cp:revision>
  <dcterms:created xsi:type="dcterms:W3CDTF">2018-06-19T03:54:00Z</dcterms:created>
  <dcterms:modified xsi:type="dcterms:W3CDTF">2018-07-04T03:40:00Z</dcterms:modified>
</cp:coreProperties>
</file>